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20"/>
      </w:pPr>
      <w:r>
        <w:rPr>
          <w:rFonts w:ascii="Calibri" w:hAnsi="Calibri" w:eastAsia="Calibri"/>
          <w:b/>
          <w:color w:val="2E74B5"/>
          <w:sz w:val="20"/>
        </w:rPr>
        <w:t>PROJE DOSYASI</w:t>
      </w:r>
    </w:p>
    <w:p>
      <w:pPr>
        <w:pStyle w:val="Title"/>
      </w:pPr>
      <w:r>
        <w:t>3E Akademi Eğitim ve Uyum Yönetim Platformu</w:t>
      </w:r>
    </w:p>
    <w:p>
      <w:pPr>
        <w:pStyle w:val="Subtitle"/>
      </w:pPr>
      <w:r>
        <w:t>Bulut Tabanlı Eğitim, Yetkinlik, Belgelendirme ve e-İşlem Yönetimi</w:t>
      </w:r>
    </w:p>
    <w:p>
      <w:pPr>
        <w:spacing w:after="60"/>
      </w:pPr>
      <w:r>
        <w:rPr>
          <w:rFonts w:ascii="Calibri" w:hAnsi="Calibri" w:eastAsia="Calibri"/>
          <w:b/>
          <w:color w:val="000000"/>
          <w:sz w:val="21"/>
        </w:rPr>
        <w:t xml:space="preserve">Doküman Türü: </w:t>
      </w:r>
      <w:r>
        <w:rPr>
          <w:rFonts w:ascii="Calibri" w:hAnsi="Calibri" w:eastAsia="Calibri"/>
          <w:color w:val="000000"/>
          <w:sz w:val="21"/>
        </w:rPr>
        <w:t>Proje Tanım ve Ürün Gereksinimleri Dokümanı (PRD)</w:t>
      </w:r>
    </w:p>
    <w:p>
      <w:pPr>
        <w:spacing w:after="60"/>
      </w:pPr>
      <w:r>
        <w:rPr>
          <w:rFonts w:ascii="Calibri" w:hAnsi="Calibri" w:eastAsia="Calibri"/>
          <w:b/>
          <w:color w:val="000000"/>
          <w:sz w:val="21"/>
        </w:rPr>
        <w:t xml:space="preserve">Sürüm: </w:t>
      </w:r>
      <w:r>
        <w:rPr>
          <w:rFonts w:ascii="Calibri" w:hAnsi="Calibri" w:eastAsia="Calibri"/>
          <w:color w:val="000000"/>
          <w:sz w:val="21"/>
        </w:rPr>
        <w:t>3.1 - Eğitim Müfredatları Entegre Sürüm</w:t>
      </w:r>
    </w:p>
    <w:p>
      <w:pPr>
        <w:spacing w:after="60"/>
      </w:pPr>
      <w:r>
        <w:rPr>
          <w:rFonts w:ascii="Calibri" w:hAnsi="Calibri" w:eastAsia="Calibri"/>
          <w:b/>
          <w:color w:val="000000"/>
          <w:sz w:val="21"/>
        </w:rPr>
        <w:t xml:space="preserve">Tarih: </w:t>
      </w:r>
      <w:r>
        <w:rPr>
          <w:rFonts w:ascii="Calibri" w:hAnsi="Calibri" w:eastAsia="Calibri"/>
          <w:color w:val="000000"/>
          <w:sz w:val="21"/>
        </w:rPr>
        <w:t>23 Temmuz 2026</w:t>
      </w:r>
    </w:p>
    <w:p>
      <w:pPr>
        <w:spacing w:after="60"/>
      </w:pPr>
      <w:r>
        <w:rPr>
          <w:rFonts w:ascii="Calibri" w:hAnsi="Calibri" w:eastAsia="Calibri"/>
          <w:b/>
          <w:color w:val="000000"/>
          <w:sz w:val="21"/>
        </w:rPr>
        <w:t xml:space="preserve">Hazırlanan Yapı: </w:t>
      </w:r>
      <w:r>
        <w:rPr>
          <w:rFonts w:ascii="Calibri" w:hAnsi="Calibri" w:eastAsia="Calibri"/>
          <w:color w:val="000000"/>
          <w:sz w:val="21"/>
        </w:rPr>
        <w:t>3E Group / 3E Akademi</w:t>
      </w:r>
    </w:p>
    <w:p>
      <w:pPr>
        <w:spacing w:after="60"/>
      </w:pPr>
      <w:r>
        <w:rPr>
          <w:rFonts w:ascii="Calibri" w:hAnsi="Calibri" w:eastAsia="Calibri"/>
          <w:b/>
          <w:color w:val="000000"/>
          <w:sz w:val="21"/>
        </w:rPr>
        <w:t xml:space="preserve">Ürün Sahibi: </w:t>
      </w:r>
      <w:r>
        <w:rPr>
          <w:rFonts w:ascii="Calibri" w:hAnsi="Calibri" w:eastAsia="Calibri"/>
          <w:color w:val="000000"/>
          <w:sz w:val="21"/>
        </w:rPr>
        <w:t>3E Akademi</w:t>
      </w:r>
    </w:p>
    <w:p>
      <w:pPr>
        <w:spacing w:after="60"/>
      </w:pPr>
      <w:r>
        <w:rPr>
          <w:rFonts w:ascii="Calibri" w:hAnsi="Calibri" w:eastAsia="Calibri"/>
          <w:b/>
          <w:color w:val="000000"/>
          <w:sz w:val="21"/>
        </w:rPr>
        <w:t xml:space="preserve">Teknik Üretim: </w:t>
      </w:r>
      <w:r>
        <w:rPr>
          <w:rFonts w:ascii="Calibri" w:hAnsi="Calibri" w:eastAsia="Calibri"/>
          <w:color w:val="000000"/>
          <w:sz w:val="21"/>
        </w:rPr>
        <w:t>3e Teknoloji / Pitbull</w:t>
      </w:r>
    </w:p>
    <w:p>
      <w:pPr>
        <w:spacing w:after="60"/>
      </w:pPr>
      <w:r>
        <w:rPr>
          <w:rFonts w:ascii="Calibri" w:hAnsi="Calibri" w:eastAsia="Calibri"/>
          <w:b/>
          <w:color w:val="000000"/>
          <w:sz w:val="21"/>
        </w:rPr>
        <w:t xml:space="preserve">Durum: </w:t>
      </w:r>
      <w:r>
        <w:rPr>
          <w:rFonts w:ascii="Calibri" w:hAnsi="Calibri" w:eastAsia="Calibri"/>
          <w:color w:val="000000"/>
          <w:sz w:val="21"/>
        </w:rPr>
        <w:t>Yönetim ve yazılım ekibi değerlendirme taslağı</w:t>
      </w:r>
    </w:p>
    <w:p>
      <w:pPr>
        <w:spacing w:after="160"/>
      </w:pPr>
    </w:p>
    <w:p>
      <w:pPr>
        <w:spacing w:before="100" w:after="180" w:line="264" w:lineRule="auto"/>
        <w:ind w:left="115" w:right="115"/>
        <w:shd w:fill="E8EEF5"/>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Ürün Kararı: </w:t>
      </w:r>
      <w:r>
        <w:rPr>
          <w:rFonts w:ascii="Calibri" w:hAnsi="Calibri" w:eastAsia="Calibri"/>
        </w:rPr>
        <w:t>Platform bir eğitim takvimi değil; personelin belirli bir hizmet alanında görev almaya uygunluğunu kanıtlarıyla yöneten, uygunsuz atamayı önleyen ve resmî işlemleri denetlenebilir hale getiren çok kiracılı bir SaaS uyum sistemidir.</w:t>
      </w:r>
    </w:p>
    <w:p>
      <w:pPr>
        <w:pStyle w:val="SmallMetadata"/>
      </w:pPr>
      <w:r>
        <w:rPr>
          <w:rFonts w:ascii="Calibri" w:hAnsi="Calibri" w:eastAsia="Calibri"/>
          <w:i/>
        </w:rPr>
        <w:t>Gizlilik: Bu doküman 3E Group iç kullanımına ve yetkilendirilmiş proje paydaşlarına yöneliktir.</w:t>
      </w:r>
    </w:p>
    <w:p>
      <w:r>
        <w:br w:type="page"/>
      </w:r>
    </w:p>
    <w:p>
      <w:pPr>
        <w:pStyle w:val="Heading1"/>
        <w:keepNext/>
        <w:keepLines/>
      </w:pPr>
      <w:r>
        <w:t>Belge Kontrolü</w:t>
      </w:r>
    </w:p>
    <w:tbl>
      <w:tblPr>
        <w:tblStyle w:val="TableGrid"/>
        <w:tblW w:type="dxa" w:w="9360"/>
        <w:jc w:val="left"/>
        <w:tblLayout w:type="fixed"/>
        <w:tblLook w:firstColumn="1" w:firstRow="1" w:lastColumn="0" w:lastRow="0" w:noHBand="0" w:noVBand="1" w:val="04A0"/>
        <w:tblInd w:type="dxa" w:w="120"/>
      </w:tblPr>
      <w:tblGrid>
        <w:gridCol w:w="2376"/>
        <w:gridCol w:w="6984"/>
      </w:tblGrid>
      <w:tr>
        <w:trPr>
          <w:tblHeader w:val="true"/>
          <w:cantSplit w:val="true"/>
        </w:trPr>
        <w:tc>
          <w:tcPr>
            <w:tcW w:type="dxa" w:w="237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Alan</w:t>
            </w:r>
          </w:p>
        </w:tc>
        <w:tc>
          <w:tcPr>
            <w:tcW w:type="dxa" w:w="698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Değer</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Kaynak dokümanlar</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3E_Academy_SaaS_PRD_v2.docx ve üç resmî eğitim/gözetim yönergesi</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Birleştirilen kapsam</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Eğitim takibi, 9 DGY müfredatı, 13 IMDG görev eğitimi, yetkinlik, e-işlem, teklif, denetim, güvenlik ve SaaS yol haritası</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Ana düzeltme</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Eğitim adlarıyla sınırlı özet yapı yerine konu, süre, görev, kapsama ve yenileme kuralları sisteme işlendi</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Onay kapısı</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Mevzuat/iş kuralı onayı, MVP kapsam onayı, teknik mimari onayı</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Değişiklik yönetimi</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Kural sürümü, yürürlük tarihi, değişiklik nedeni ve onaylayan kişi kaydedilir</w:t>
            </w:r>
          </w:p>
        </w:tc>
      </w:tr>
    </w:tbl>
    <w:p>
      <w:pPr>
        <w:spacing w:after="40"/>
      </w:pPr>
    </w:p>
    <w:p>
      <w:pPr>
        <w:pStyle w:val="Heading1"/>
        <w:keepNext/>
        <w:keepLines/>
      </w:pPr>
      <w:r>
        <w:t>İçindekiler</w:t>
      </w:r>
    </w:p>
    <w:p>
      <w:pPr>
        <w:pStyle w:val="ListBullet"/>
      </w:pPr>
      <w:r>
        <w:rPr>
          <w:rFonts w:ascii="Calibri" w:hAnsi="Calibri" w:eastAsia="Calibri"/>
        </w:rPr>
        <w:t>1. Yönetici Özeti</w:t>
      </w:r>
    </w:p>
    <w:p>
      <w:pPr>
        <w:pStyle w:val="ListBullet"/>
      </w:pPr>
      <w:r>
        <w:rPr>
          <w:rFonts w:ascii="Calibri" w:hAnsi="Calibri" w:eastAsia="Calibri"/>
        </w:rPr>
        <w:t>2. Proje Vizyonu, Amaçlar ve Başarı Tanımı</w:t>
      </w:r>
    </w:p>
    <w:p>
      <w:pPr>
        <w:pStyle w:val="ListBullet"/>
      </w:pPr>
      <w:r>
        <w:rPr>
          <w:rFonts w:ascii="Calibri" w:hAnsi="Calibri" w:eastAsia="Calibri"/>
        </w:rPr>
        <w:t>3. Kapsam ve Ürün Sınırları</w:t>
      </w:r>
    </w:p>
    <w:p>
      <w:pPr>
        <w:pStyle w:val="ListBullet"/>
      </w:pPr>
      <w:r>
        <w:rPr>
          <w:rFonts w:ascii="Calibri" w:hAnsi="Calibri" w:eastAsia="Calibri"/>
        </w:rPr>
        <w:t>4. Paydaşlar, Yönetişim ve RACI</w:t>
      </w:r>
    </w:p>
    <w:p>
      <w:pPr>
        <w:pStyle w:val="ListBullet"/>
      </w:pPr>
      <w:r>
        <w:rPr>
          <w:rFonts w:ascii="Calibri" w:hAnsi="Calibri" w:eastAsia="Calibri"/>
        </w:rPr>
        <w:t>5. Mevzuat ve Uyum Temeli</w:t>
      </w:r>
    </w:p>
    <w:p>
      <w:pPr>
        <w:pStyle w:val="ListBullet"/>
      </w:pPr>
      <w:r>
        <w:rPr>
          <w:rFonts w:ascii="Calibri" w:hAnsi="Calibri" w:eastAsia="Calibri"/>
        </w:rPr>
        <w:t>6. Hedef İşletim Modeli ve Uçtan Uca Akış</w:t>
      </w:r>
    </w:p>
    <w:p>
      <w:pPr>
        <w:pStyle w:val="ListBullet"/>
      </w:pPr>
      <w:r>
        <w:rPr>
          <w:rFonts w:ascii="Calibri" w:hAnsi="Calibri" w:eastAsia="Calibri"/>
        </w:rPr>
        <w:t>7. Fonksiyonel Modüller ve Gereksinimler</w:t>
      </w:r>
    </w:p>
    <w:p>
      <w:pPr>
        <w:pStyle w:val="ListBullet"/>
      </w:pPr>
      <w:r>
        <w:rPr>
          <w:rFonts w:ascii="Calibri" w:hAnsi="Calibri" w:eastAsia="Calibri"/>
        </w:rPr>
        <w:t>8. Veri Modeli ve Ana Kayıtlar</w:t>
      </w:r>
    </w:p>
    <w:p>
      <w:pPr>
        <w:pStyle w:val="ListBullet"/>
      </w:pPr>
      <w:r>
        <w:rPr>
          <w:rFonts w:ascii="Calibri" w:hAnsi="Calibri" w:eastAsia="Calibri"/>
        </w:rPr>
        <w:t>9. Kullanıcı Rolleri ve Yetkilendirme</w:t>
      </w:r>
    </w:p>
    <w:p>
      <w:pPr>
        <w:pStyle w:val="ListBullet"/>
      </w:pPr>
      <w:r>
        <w:rPr>
          <w:rFonts w:ascii="Calibri" w:hAnsi="Calibri" w:eastAsia="Calibri"/>
        </w:rPr>
        <w:t>10. e-İşlem Merkezi ve Entegrasyonlar</w:t>
      </w:r>
    </w:p>
    <w:p>
      <w:pPr>
        <w:pStyle w:val="ListBullet"/>
      </w:pPr>
      <w:r>
        <w:rPr>
          <w:rFonts w:ascii="Calibri" w:hAnsi="Calibri" w:eastAsia="Calibri"/>
        </w:rPr>
        <w:t>11. Bildirim, Yenileme ve Satış Otomasyonu</w:t>
      </w:r>
    </w:p>
    <w:p>
      <w:pPr>
        <w:pStyle w:val="ListBullet"/>
      </w:pPr>
      <w:r>
        <w:rPr>
          <w:rFonts w:ascii="Calibri" w:hAnsi="Calibri" w:eastAsia="Calibri"/>
        </w:rPr>
        <w:t>12. UI/UX ve Ekran Envanteri</w:t>
      </w:r>
    </w:p>
    <w:p>
      <w:pPr>
        <w:pStyle w:val="ListBullet"/>
      </w:pPr>
      <w:r>
        <w:rPr>
          <w:rFonts w:ascii="Calibri" w:hAnsi="Calibri" w:eastAsia="Calibri"/>
        </w:rPr>
        <w:t>13. Güvenlik, KVKK ve Kayıt Saklama</w:t>
      </w:r>
    </w:p>
    <w:p>
      <w:pPr>
        <w:pStyle w:val="ListBullet"/>
      </w:pPr>
      <w:r>
        <w:rPr>
          <w:rFonts w:ascii="Calibri" w:hAnsi="Calibri" w:eastAsia="Calibri"/>
        </w:rPr>
        <w:t>14. Teknik Mimari ve Operasyon</w:t>
      </w:r>
    </w:p>
    <w:p>
      <w:pPr>
        <w:pStyle w:val="ListBullet"/>
      </w:pPr>
      <w:r>
        <w:rPr>
          <w:rFonts w:ascii="Calibri" w:hAnsi="Calibri" w:eastAsia="Calibri"/>
        </w:rPr>
        <w:t>15. Veri Migrasyonu</w:t>
      </w:r>
    </w:p>
    <w:p>
      <w:pPr>
        <w:pStyle w:val="ListBullet"/>
      </w:pPr>
      <w:r>
        <w:rPr>
          <w:rFonts w:ascii="Calibri" w:hAnsi="Calibri" w:eastAsia="Calibri"/>
        </w:rPr>
        <w:t>16. Raporlama ve KPI’lar</w:t>
      </w:r>
    </w:p>
    <w:p>
      <w:pPr>
        <w:pStyle w:val="ListBullet"/>
      </w:pPr>
      <w:r>
        <w:rPr>
          <w:rFonts w:ascii="Calibri" w:hAnsi="Calibri" w:eastAsia="Calibri"/>
        </w:rPr>
        <w:t>17. Yol Haritası ve Fazlar</w:t>
      </w:r>
    </w:p>
    <w:p>
      <w:pPr>
        <w:pStyle w:val="ListBullet"/>
      </w:pPr>
      <w:r>
        <w:rPr>
          <w:rFonts w:ascii="Calibri" w:hAnsi="Calibri" w:eastAsia="Calibri"/>
        </w:rPr>
        <w:t>18. Test, Kabul Kriterleri ve Definition of Done</w:t>
      </w:r>
    </w:p>
    <w:p>
      <w:pPr>
        <w:pStyle w:val="ListBullet"/>
      </w:pPr>
      <w:r>
        <w:rPr>
          <w:rFonts w:ascii="Calibri" w:hAnsi="Calibri" w:eastAsia="Calibri"/>
        </w:rPr>
        <w:t>19. Riskler, Varsayımlar ve Bağımlılıklar</w:t>
      </w:r>
    </w:p>
    <w:p>
      <w:pPr>
        <w:pStyle w:val="ListBullet"/>
      </w:pPr>
      <w:r>
        <w:rPr>
          <w:rFonts w:ascii="Calibri" w:hAnsi="Calibri" w:eastAsia="Calibri"/>
        </w:rPr>
        <w:t>20. Ticarileştirme Çerçevesi</w:t>
      </w:r>
    </w:p>
    <w:p>
      <w:pPr>
        <w:pStyle w:val="ListBullet"/>
      </w:pPr>
      <w:r>
        <w:rPr>
          <w:rFonts w:ascii="Calibri" w:hAnsi="Calibri" w:eastAsia="Calibri"/>
        </w:rPr>
        <w:t>Ek A - Deniz Ticareti Gözetim Eğitim Müfredatları</w:t>
      </w:r>
    </w:p>
    <w:p>
      <w:pPr>
        <w:pStyle w:val="ListBullet"/>
      </w:pPr>
      <w:r>
        <w:rPr>
          <w:rFonts w:ascii="Calibri" w:hAnsi="Calibri" w:eastAsia="Calibri"/>
        </w:rPr>
        <w:t>Ek B - IMDG Kod Görev Bazlı Eğitim Seminerleri</w:t>
      </w:r>
    </w:p>
    <w:p>
      <w:pPr>
        <w:pStyle w:val="ListBullet"/>
      </w:pPr>
      <w:r>
        <w:rPr>
          <w:rFonts w:ascii="Calibri" w:hAnsi="Calibri" w:eastAsia="Calibri"/>
        </w:rPr>
        <w:t>Ek C - Asgari Alan Sözlüğü</w:t>
      </w:r>
    </w:p>
    <w:p>
      <w:pPr>
        <w:pStyle w:val="ListBullet"/>
      </w:pPr>
      <w:r>
        <w:rPr>
          <w:rFonts w:ascii="Calibri" w:hAnsi="Calibri" w:eastAsia="Calibri"/>
        </w:rPr>
        <w:t>Ek D - Kaynaklar ve Referanslar</w:t>
      </w:r>
    </w:p>
    <w:p>
      <w:pPr>
        <w:pStyle w:val="ListBullet"/>
      </w:pPr>
      <w:r>
        <w:rPr>
          <w:rFonts w:ascii="Calibri" w:hAnsi="Calibri" w:eastAsia="Calibri"/>
        </w:rPr>
        <w:t>Ek E - Karar Bekleyen Sorular</w:t>
      </w:r>
    </w:p>
    <w:p>
      <w:pPr>
        <w:pStyle w:val="ListBullet"/>
      </w:pPr>
      <w:r>
        <w:rPr>
          <w:rFonts w:ascii="Calibri" w:hAnsi="Calibri" w:eastAsia="Calibri"/>
        </w:rPr>
        <w:t>Ek F - Yönetim Onay Listesi</w:t>
      </w:r>
    </w:p>
    <w:p>
      <w:pPr>
        <w:pStyle w:val="Heading1"/>
        <w:pageBreakBefore/>
        <w:keepNext/>
        <w:keepLines/>
      </w:pPr>
      <w:r>
        <w:t>1. Yönetici Özeti</w:t>
      </w:r>
    </w:p>
    <w:p>
      <w:r>
        <w:rPr>
          <w:rFonts w:ascii="Calibri" w:hAnsi="Calibri" w:eastAsia="Calibri"/>
          <w:i w:val="0"/>
        </w:rPr>
        <w:t>3E Akademi Eğitim ve Uyum Yönetim Platformu; eğitim kuruluşu, müşteri firma, eğitmen ve katılımcı süreçlerini tek bir denetlenebilir veri zincirinde birleştiren bulut tabanlı bir B2B SaaS çözümüdür. Sistem, Excel ağırlıklı takip yapısını azaltacak; eğitim ihtiyacını mevzuat ve görev alanına göre hesaplayacak; uygun eğitmen, yer, katılımcı ve resmî işlem kontrollerini otomatik uygulayacaktır.</w:t>
      </w:r>
    </w:p>
    <w:p>
      <w:r>
        <w:rPr>
          <w:rFonts w:ascii="Calibri" w:hAnsi="Calibri" w:eastAsia="Calibri"/>
          <w:i w:val="0"/>
        </w:rPr>
        <w:t>Projenin ticari değeri yalnızca planlama kolaylığından gelmez. Esas değer; süresi geçmiş eğitim, uygunsuz eğitmen, eksik SGK/istihdam kanıtı veya tamamlanmamış resmî işlem nedeniyle oluşabilecek operasyon ve denetim riskini iş başlamadan durdurmasıdır.</w:t>
      </w:r>
    </w:p>
    <w:p>
      <w:pPr>
        <w:spacing w:before="100" w:after="180" w:line="264" w:lineRule="auto"/>
        <w:ind w:left="115" w:right="115"/>
        <w:shd w:fill="F4F6F9"/>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Önerilen Yaklaşım: </w:t>
      </w:r>
      <w:r>
        <w:rPr>
          <w:rFonts w:ascii="Calibri" w:hAnsi="Calibri" w:eastAsia="Calibri"/>
        </w:rPr>
        <w:t>İlk ürün; uyum takvimi, personel-yetkinlik matrisi, eğitim operasyonu, belge arşivi ve e-işlem görev merkezine odaklanmalıdır. Tam muhasebe, çevrimdışı mobil uygulama, yapay zekâ ve resmî sistem API entegrasyonları sonraki fazlara bırakılmalıdır.</w:t>
      </w:r>
    </w:p>
    <w:p>
      <w:r>
        <w:rPr>
          <w:rFonts w:ascii="Calibri" w:hAnsi="Calibri" w:eastAsia="Calibri"/>
          <w:b/>
        </w:rPr>
        <w:t>PRD v2 incelemesinde tespit edilen başlıca düzeltmeler:</w:t>
      </w:r>
      <w:r>
        <w:rPr>
          <w:rFonts w:ascii="Calibri" w:hAnsi="Calibri" w:eastAsia="Calibri"/>
          <w:i w:val="0"/>
        </w:rPr>
      </w:r>
    </w:p>
    <w:p>
      <w:pPr>
        <w:pStyle w:val="ListBullet"/>
      </w:pPr>
      <w:r>
        <w:rPr>
          <w:rFonts w:ascii="Calibri" w:hAnsi="Calibri" w:eastAsia="Calibri"/>
        </w:rPr>
        <w:t>Deniz Ticareti Gözetim Hizmetleri Uygulama Yönergesi Ek-3’teki dokuz hizmet alanının eğitim kapsamları, süreleri ve beş yıllık yenileme kuralları eksiksiz olarak katalog ve müfredat modeline eklenmiştir.</w:t>
      </w:r>
    </w:p>
    <w:p>
      <w:pPr>
        <w:pStyle w:val="ListBullet"/>
      </w:pPr>
      <w:r>
        <w:rPr>
          <w:rFonts w:ascii="Calibri" w:hAnsi="Calibri" w:eastAsia="Calibri"/>
        </w:rPr>
        <w:t>IMDG Kod Eğitim Seminerlerine İlişkin Yönergedeki on üç görev bazlı eğitim; süre, yenileme, eğitici, kapsama ve görev eşleştirme kurallarıyla sisteme dâhil edilmiştir.</w:t>
      </w:r>
    </w:p>
    <w:p>
      <w:pPr>
        <w:pStyle w:val="ListBullet"/>
      </w:pPr>
      <w:r>
        <w:rPr>
          <w:rFonts w:ascii="Calibri" w:hAnsi="Calibri" w:eastAsia="Calibri"/>
        </w:rPr>
        <w:t>CTU, CSS ve genel deniz gözetim eğitimleri için iki yıllık genel varsayım kaldırılmış, eğitim bazlı güncel yenileme matrisi eklenmiştir.</w:t>
      </w:r>
    </w:p>
    <w:p>
      <w:pPr>
        <w:pStyle w:val="ListBullet"/>
      </w:pPr>
      <w:r>
        <w:rPr>
          <w:rFonts w:ascii="Calibri" w:hAnsi="Calibri" w:eastAsia="Calibri"/>
        </w:rPr>
        <w:t>Tam 45 gün kala tek bildirim yerine 90/60/45/30/15/7 gün ve süresi geçti bildirimleri yapılandırılabilir hale getirilmiştir.</w:t>
      </w:r>
    </w:p>
    <w:p>
      <w:pPr>
        <w:pStyle w:val="ListBullet"/>
      </w:pPr>
      <w:r>
        <w:rPr>
          <w:rFonts w:ascii="Calibri" w:hAnsi="Calibri" w:eastAsia="Calibri"/>
        </w:rPr>
        <w:t>T.C. kimlik numarası tek başına katılımcı kaydı olmaktan çıkarılmış; kişi, firma ve istihdam dönemleri ayrıştırılmıştır.</w:t>
      </w:r>
    </w:p>
    <w:p>
      <w:pPr>
        <w:pStyle w:val="ListBullet"/>
      </w:pPr>
      <w:r>
        <w:rPr>
          <w:rFonts w:ascii="Calibri" w:hAnsi="Calibri" w:eastAsia="Calibri"/>
        </w:rPr>
        <w:t>Adminin kalıcı silme yetkisi sınırlandırılmış; yumuşak silme, çift kontrol ve değiştirilemez denetim kaydı öngörülmüştür.</w:t>
      </w:r>
    </w:p>
    <w:p>
      <w:pPr>
        <w:pStyle w:val="ListBullet"/>
      </w:pPr>
      <w:r>
        <w:rPr>
          <w:rFonts w:ascii="Calibri" w:hAnsi="Calibri" w:eastAsia="Calibri"/>
        </w:rPr>
        <w:t>Günlük yedekleme ile RPO &lt; 1 saat çelişkisi giderilmiş; işlem günlüğü/PITR ve test edilen geri dönüş planı eklenmiştir.</w:t>
      </w:r>
    </w:p>
    <w:p>
      <w:pPr>
        <w:pStyle w:val="ListBullet"/>
      </w:pPr>
      <w:r>
        <w:rPr>
          <w:rFonts w:ascii="Calibri" w:hAnsi="Calibri" w:eastAsia="Calibri"/>
        </w:rPr>
        <w:t>Kubernetes zorunluluğu kaldırılmış; ölçeğe göre büyüyebilen container ve yönetilen servis yaklaşımı benimsenmiştir.</w:t>
      </w:r>
    </w:p>
    <w:p>
      <w:pPr>
        <w:pStyle w:val="ListBullet"/>
      </w:pPr>
      <w:r>
        <w:rPr>
          <w:rFonts w:ascii="Calibri" w:hAnsi="Calibri" w:eastAsia="Calibri"/>
        </w:rPr>
        <w:t>Tam ön muhasebe yazmak yerine teklif, sözleşme, fatura referansı ve entegrasyon odaklı finans kapsamı tanımlanmıştır.</w:t>
      </w:r>
    </w:p>
    <w:p>
      <w:pPr>
        <w:pStyle w:val="Heading1"/>
        <w:keepNext/>
        <w:keepLines/>
      </w:pPr>
      <w:r>
        <w:t>2. Proje Vizyonu, Amaçlar ve Başarı Tanımı</w:t>
      </w:r>
    </w:p>
    <w:p>
      <w:r>
        <w:rPr>
          <w:rFonts w:ascii="Calibri" w:hAnsi="Calibri" w:eastAsia="Calibri"/>
          <w:i w:val="0"/>
        </w:rPr>
        <w:t>Vizyon: 3E Akademi’nin mevzuat bilgisini tekrar edilebilir bir dijital ürüne dönüştürmek; firmalara yalnızca eğitim değil, ölçülebilir ve denetlenebilir yetkinlik güvencesi sunmaktır.</w:t>
      </w:r>
    </w:p>
    <w:p>
      <w:r>
        <w:rPr>
          <w:rFonts w:ascii="Calibri" w:hAnsi="Calibri" w:eastAsia="Calibri"/>
          <w:i w:val="0"/>
        </w:rPr>
        <w:t>Stratejik amaçlar:</w:t>
      </w:r>
    </w:p>
    <w:p>
      <w:pPr>
        <w:pStyle w:val="ListBullet"/>
      </w:pPr>
      <w:r>
        <w:rPr>
          <w:rFonts w:ascii="Calibri" w:hAnsi="Calibri" w:eastAsia="Calibri"/>
        </w:rPr>
        <w:t>Tüm firma, şube, personel, eğitmen, program, belge ve resmî işlem kayıtlarını ortak veri modelinde toplamak.</w:t>
      </w:r>
    </w:p>
    <w:p>
      <w:pPr>
        <w:pStyle w:val="ListBullet"/>
      </w:pPr>
      <w:r>
        <w:rPr>
          <w:rFonts w:ascii="Calibri" w:hAnsi="Calibri" w:eastAsia="Calibri"/>
        </w:rPr>
        <w:t>Görev/hizmet alanına göre eğitim ihtiyacını otomatik hesaplamak ve uygunsuz görevlendirmeyi engellemek.</w:t>
      </w:r>
    </w:p>
    <w:p>
      <w:pPr>
        <w:pStyle w:val="ListBullet"/>
      </w:pPr>
      <w:r>
        <w:rPr>
          <w:rFonts w:ascii="Calibri" w:hAnsi="Calibri" w:eastAsia="Calibri"/>
        </w:rPr>
        <w:t>Yenilemeleri satış fırsatına dönüştüren kontrollü teklif otomasyonu kurmak.</w:t>
      </w:r>
    </w:p>
    <w:p>
      <w:pPr>
        <w:pStyle w:val="ListBullet"/>
      </w:pPr>
      <w:r>
        <w:rPr>
          <w:rFonts w:ascii="Calibri" w:hAnsi="Calibri" w:eastAsia="Calibri"/>
        </w:rPr>
        <w:t>Denetim sırasında tek tuşla kanıt dosyası üretmek.</w:t>
      </w:r>
    </w:p>
    <w:p>
      <w:pPr>
        <w:pStyle w:val="ListBullet"/>
      </w:pPr>
      <w:r>
        <w:rPr>
          <w:rFonts w:ascii="Calibri" w:hAnsi="Calibri" w:eastAsia="Calibri"/>
        </w:rPr>
        <w:t>3E Akademi, ST TMGD, Survey Turk ve 3e Lojistik Yönetim Danışmanlık arasında ileride kullanılabilecek ortak yetkinlik omurgasını oluşturmak.</w:t>
      </w:r>
    </w:p>
    <w:p>
      <w:pPr>
        <w:pStyle w:val="ListBullet"/>
      </w:pPr>
      <w:r>
        <w:rPr>
          <w:rFonts w:ascii="Calibri" w:hAnsi="Calibri" w:eastAsia="Calibri"/>
        </w:rPr>
        <w:t>Türkiye’de başlayan ürünün Avrupa, Afrika ve Türk Devletleri coğrafyasına uyarlanabilecek kural ve dil altyapısını hazırlamak.</w:t>
      </w:r>
    </w:p>
    <w:p>
      <w:r>
        <w:rPr>
          <w:rFonts w:ascii="Calibri" w:hAnsi="Calibri" w:eastAsia="Calibri"/>
          <w:i w:val="0"/>
        </w:rPr>
        <w:t>İlk 12 aylık başarı göstergeleri:</w:t>
      </w:r>
    </w:p>
    <w:tbl>
      <w:tblPr>
        <w:tblStyle w:val="TableGrid"/>
        <w:tblW w:type="dxa" w:w="9360"/>
        <w:jc w:val="left"/>
        <w:tblLayout w:type="fixed"/>
        <w:tblLook w:firstColumn="1" w:firstRow="1" w:lastColumn="0" w:lastRow="0" w:noHBand="0" w:noVBand="1" w:val="04A0"/>
        <w:tblInd w:type="dxa" w:w="120"/>
      </w:tblPr>
      <w:tblGrid>
        <w:gridCol w:w="4752"/>
        <w:gridCol w:w="4608"/>
      </w:tblGrid>
      <w:tr>
        <w:trPr>
          <w:tblHeader w:val="true"/>
          <w:cantSplit w:val="true"/>
        </w:trPr>
        <w:tc>
          <w:tcPr>
            <w:tcW w:type="dxa" w:w="475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Gösterge</w:t>
            </w:r>
          </w:p>
        </w:tc>
        <w:tc>
          <w:tcPr>
            <w:tcW w:type="dxa" w:w="460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Hedef</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Aktif müşteri firma</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Pilot sonrası en az 5, yıl sonunda en az 20</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Sisteme aktarılan aktif personel</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En az 1.000 kişi</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Kaçırılan yenileme</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Kritik müşterilerde sıfıra yakın</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Uygunsuz eğitmen ataması</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Hard block sayesinde 0</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Eğitim dosyası hazırlama süresi</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En az %50 azalma</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Denetim kanıt dosyası üretimi</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10 dakikanın altında</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Teklif hazırlama süresi</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Standart eğitimlerde 5 dakikanın altında</w:t>
            </w:r>
          </w:p>
        </w:tc>
      </w:tr>
      <w:tr>
        <w:trPr>
          <w:cantSplit w:val="true"/>
        </w:trPr>
        <w:tc>
          <w:tcPr>
            <w:tcW w:type="dxa" w:w="47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Aktif kullanıcı memnuniyeti</w:t>
            </w:r>
          </w:p>
        </w:tc>
        <w:tc>
          <w:tcPr>
            <w:tcW w:type="dxa" w:w="46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5 üzerinden en az 4</w:t>
            </w:r>
          </w:p>
        </w:tc>
      </w:tr>
    </w:tbl>
    <w:p>
      <w:pPr>
        <w:spacing w:after="40"/>
      </w:pPr>
    </w:p>
    <w:p>
      <w:pPr>
        <w:pStyle w:val="Heading1"/>
        <w:pageBreakBefore/>
        <w:keepNext/>
        <w:keepLines/>
      </w:pPr>
      <w:r>
        <w:t>3. Kapsam ve Ürün Sınırları</w:t>
      </w:r>
    </w:p>
    <w:p>
      <w:r>
        <w:rPr>
          <w:rFonts w:ascii="Calibri" w:hAnsi="Calibri" w:eastAsia="Calibri"/>
          <w:i w:val="0"/>
        </w:rPr>
        <w:t>MVP kapsamı:</w:t>
      </w:r>
    </w:p>
    <w:p>
      <w:pPr>
        <w:pStyle w:val="ListBullet"/>
      </w:pPr>
      <w:r>
        <w:rPr>
          <w:rFonts w:ascii="Calibri" w:hAnsi="Calibri" w:eastAsia="Calibri"/>
        </w:rPr>
        <w:t>Çok kiracılı firma/şube yapısı ve müşteri portalı temeli</w:t>
      </w:r>
    </w:p>
    <w:p>
      <w:pPr>
        <w:pStyle w:val="ListBullet"/>
      </w:pPr>
      <w:r>
        <w:rPr>
          <w:rFonts w:ascii="Calibri" w:hAnsi="Calibri" w:eastAsia="Calibri"/>
        </w:rPr>
        <w:t>Kişi, istihdam dönemi, SGK/çalışma kanıtı ve görev kaydı</w:t>
      </w:r>
    </w:p>
    <w:p>
      <w:pPr>
        <w:pStyle w:val="ListBullet"/>
      </w:pPr>
      <w:r>
        <w:rPr>
          <w:rFonts w:ascii="Calibri" w:hAnsi="Calibri" w:eastAsia="Calibri"/>
        </w:rPr>
        <w:t>Mevzuat sürümlü yetkinlik-eğitim kural motoru</w:t>
      </w:r>
    </w:p>
    <w:p>
      <w:pPr>
        <w:pStyle w:val="ListBullet"/>
      </w:pPr>
      <w:r>
        <w:rPr>
          <w:rFonts w:ascii="Calibri" w:hAnsi="Calibri" w:eastAsia="Calibri"/>
        </w:rPr>
        <w:t>Dokuz deniz gözetim hizmet alanı ile on üç IMDG görev eğitiminin sürümlü katalog, müfredat, eğitmen yetkisi ve lokasyon yönetimi</w:t>
      </w:r>
    </w:p>
    <w:p>
      <w:pPr>
        <w:pStyle w:val="ListBullet"/>
      </w:pPr>
      <w:r>
        <w:rPr>
          <w:rFonts w:ascii="Calibri" w:hAnsi="Calibri" w:eastAsia="Calibri"/>
        </w:rPr>
        <w:t>Eğitim planlama, kontenjan, çakışma, katılımcı uygunluk kontrolü</w:t>
      </w:r>
    </w:p>
    <w:p>
      <w:pPr>
        <w:pStyle w:val="ListBullet"/>
      </w:pPr>
      <w:r>
        <w:rPr>
          <w:rFonts w:ascii="Calibri" w:hAnsi="Calibri" w:eastAsia="Calibri"/>
        </w:rPr>
        <w:t>Yoklama, süre, sınav, başarı, belge ve sertifika yaşam döngüsü</w:t>
      </w:r>
    </w:p>
    <w:p>
      <w:pPr>
        <w:pStyle w:val="ListBullet"/>
      </w:pPr>
      <w:r>
        <w:rPr>
          <w:rFonts w:ascii="Calibri" w:hAnsi="Calibri" w:eastAsia="Calibri"/>
        </w:rPr>
        <w:t>e-Devlet, KEP ve Bakanlık uygulaması için görev/kanıt takibi</w:t>
      </w:r>
    </w:p>
    <w:p>
      <w:pPr>
        <w:pStyle w:val="ListBullet"/>
      </w:pPr>
      <w:r>
        <w:rPr>
          <w:rFonts w:ascii="Calibri" w:hAnsi="Calibri" w:eastAsia="Calibri"/>
        </w:rPr>
        <w:t>Yenileme bildirimleri ve teklif taslağı oluşturma</w:t>
      </w:r>
    </w:p>
    <w:p>
      <w:pPr>
        <w:pStyle w:val="ListBullet"/>
      </w:pPr>
      <w:r>
        <w:rPr>
          <w:rFonts w:ascii="Calibri" w:hAnsi="Calibri" w:eastAsia="Calibri"/>
        </w:rPr>
        <w:t>Doküman, denetim izi, dashboard ve temel raporlar</w:t>
      </w:r>
    </w:p>
    <w:p>
      <w:pPr>
        <w:pStyle w:val="ListBullet"/>
      </w:pPr>
      <w:r>
        <w:rPr>
          <w:rFonts w:ascii="Calibri" w:hAnsi="Calibri" w:eastAsia="Calibri"/>
        </w:rPr>
        <w:t>Excel içe/dışa aktarım ve eski veri migrasyonu</w:t>
      </w:r>
    </w:p>
    <w:p>
      <w:r>
        <w:rPr>
          <w:rFonts w:ascii="Calibri" w:hAnsi="Calibri" w:eastAsia="Calibri"/>
          <w:i w:val="0"/>
        </w:rPr>
        <w:t>MVP dışı / sonraki faz:</w:t>
      </w:r>
    </w:p>
    <w:p>
      <w:pPr>
        <w:pStyle w:val="ListBullet"/>
      </w:pPr>
      <w:r>
        <w:rPr>
          <w:rFonts w:ascii="Calibri" w:hAnsi="Calibri" w:eastAsia="Calibri"/>
        </w:rPr>
        <w:t>Tam kapsamlı video LMS ve içerik üretim stüdyosu</w:t>
      </w:r>
    </w:p>
    <w:p>
      <w:pPr>
        <w:pStyle w:val="ListBullet"/>
      </w:pPr>
      <w:r>
        <w:rPr>
          <w:rFonts w:ascii="Calibri" w:hAnsi="Calibri" w:eastAsia="Calibri"/>
        </w:rPr>
        <w:t>Resmî sistemlere izinsiz robotik giriş veya kullanıcı şifresi saklama</w:t>
      </w:r>
    </w:p>
    <w:p>
      <w:pPr>
        <w:pStyle w:val="ListBullet"/>
      </w:pPr>
      <w:r>
        <w:rPr>
          <w:rFonts w:ascii="Calibri" w:hAnsi="Calibri" w:eastAsia="Calibri"/>
        </w:rPr>
        <w:t>Tam muhasebe defteri ve e-fatura çekirdeğinin sıfırdan geliştirilmesi</w:t>
      </w:r>
    </w:p>
    <w:p>
      <w:pPr>
        <w:pStyle w:val="ListBullet"/>
      </w:pPr>
      <w:r>
        <w:rPr>
          <w:rFonts w:ascii="Calibri" w:hAnsi="Calibri" w:eastAsia="Calibri"/>
        </w:rPr>
        <w:t>Çevrimdışı native mobil uygulama</w:t>
      </w:r>
    </w:p>
    <w:p>
      <w:pPr>
        <w:pStyle w:val="ListBullet"/>
      </w:pPr>
      <w:r>
        <w:rPr>
          <w:rFonts w:ascii="Calibri" w:hAnsi="Calibri" w:eastAsia="Calibri"/>
        </w:rPr>
        <w:t>Yapay zekâ ile sınav puanlama veya mevzuat kararı verme</w:t>
      </w:r>
    </w:p>
    <w:p>
      <w:pPr>
        <w:pStyle w:val="ListBullet"/>
      </w:pPr>
      <w:r>
        <w:rPr>
          <w:rFonts w:ascii="Calibri" w:hAnsi="Calibri" w:eastAsia="Calibri"/>
        </w:rPr>
        <w:t>TMGD, EUDR, CBAM ve saha gözetim modüllerinin tamamı</w:t>
      </w:r>
    </w:p>
    <w:p>
      <w:pPr>
        <w:pStyle w:val="ListBullet"/>
      </w:pPr>
      <w:r>
        <w:rPr>
          <w:rFonts w:ascii="Calibri" w:hAnsi="Calibri" w:eastAsia="Calibri"/>
        </w:rPr>
        <w:t>White-label bayi modeli ve çok ülke vergi motoru</w:t>
      </w:r>
    </w:p>
    <w:p>
      <w:pPr>
        <w:spacing w:before="100" w:after="180" w:line="264" w:lineRule="auto"/>
        <w:ind w:left="115" w:right="115"/>
        <w:shd w:fill="E8EEF5"/>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Ürün Sınırı: </w:t>
      </w:r>
      <w:r>
        <w:rPr>
          <w:rFonts w:ascii="Calibri" w:hAnsi="Calibri" w:eastAsia="Calibri"/>
        </w:rPr>
        <w:t>Bakanlık ve e-Devlet sistemleri resmî kayıtların kaynak sistemidir. 3E platformu hazırlık, uygunluk kontrolü, görev yönetimi, belge paketi, kanıt ve raporlama katmanıdır. Resmî API sağlanmadıkça otomatik giriş yapılmaz.</w:t>
      </w:r>
    </w:p>
    <w:p>
      <w:pPr>
        <w:pStyle w:val="Heading1"/>
        <w:keepNext/>
        <w:keepLines/>
      </w:pPr>
      <w:r>
        <w:t>4. Paydaşlar, Yönetişim ve RACI</w:t>
      </w:r>
    </w:p>
    <w:tbl>
      <w:tblPr>
        <w:tblStyle w:val="TableGrid"/>
        <w:tblW w:type="dxa" w:w="9360"/>
        <w:jc w:val="left"/>
        <w:tblLayout w:type="fixed"/>
        <w:tblLook w:firstColumn="1" w:firstRow="1" w:lastColumn="0" w:lastRow="0" w:noHBand="0" w:noVBand="1" w:val="04A0"/>
        <w:tblInd w:type="dxa" w:w="120"/>
      </w:tblPr>
      <w:tblGrid>
        <w:gridCol w:w="3024"/>
        <w:gridCol w:w="6336"/>
      </w:tblGrid>
      <w:tr>
        <w:trPr>
          <w:tblHeader w:val="true"/>
          <w:cantSplit w:val="true"/>
        </w:trPr>
        <w:tc>
          <w:tcPr>
            <w:tcW w:type="dxa" w:w="302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Rol/Yapı</w:t>
            </w:r>
          </w:p>
        </w:tc>
        <w:tc>
          <w:tcPr>
            <w:tcW w:type="dxa" w:w="633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Ana sorumluluk</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3E Group yönetimi</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Sponsor, yatırım ve öncelik kararları</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3E Akademi</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Ürün sahibi, müşteri süreci ve eğitim operasyonu</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3e Teknoloji / Pitbull</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Yazılım mimarisi, geliştirme, DevOps ve destek</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3e Lojistik / ST TMGD / Survey Turk</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Alan uzmanlığı ve mevzuat doğrulaması</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Müşteri firma yöneticisi</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Firma/personel verisi ve iç onaylar</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Eğitmen</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Müsaitlik, eğitim, devam ve sonuç kayıtları</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KVKK/hukuk sorumlusu</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Veri işleme, aktarım, saklama ve sözleşme kontrolü</w:t>
            </w:r>
          </w:p>
        </w:tc>
      </w:tr>
      <w:tr>
        <w:trPr>
          <w:cantSplit w:val="true"/>
        </w:trPr>
        <w:tc>
          <w:tcPr>
            <w:tcW w:type="dxa" w:w="30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Denetçi / salt okunur kullanıcı</w:t>
            </w:r>
          </w:p>
        </w:tc>
        <w:tc>
          <w:tcPr>
            <w:tcW w:type="dxa" w:w="63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Kanıt ve kayıt inceleme</w:t>
            </w:r>
          </w:p>
        </w:tc>
      </w:tr>
    </w:tbl>
    <w:p>
      <w:pPr>
        <w:spacing w:after="40"/>
      </w:pPr>
    </w:p>
    <w:p>
      <w:r>
        <w:rPr>
          <w:rFonts w:ascii="Calibri" w:hAnsi="Calibri" w:eastAsia="Calibri"/>
          <w:i w:val="0"/>
        </w:rPr>
        <w:t>Temel RACI:</w:t>
      </w:r>
    </w:p>
    <w:tbl>
      <w:tblPr>
        <w:tblStyle w:val="TableGrid"/>
        <w:tblW w:type="dxa" w:w="9360"/>
        <w:jc w:val="left"/>
        <w:tblLayout w:type="fixed"/>
        <w:tblLook w:firstColumn="1" w:firstRow="1" w:lastColumn="0" w:lastRow="0" w:noHBand="0" w:noVBand="1" w:val="04A0"/>
        <w:tblInd w:type="dxa" w:w="120"/>
      </w:tblPr>
      <w:tblGrid>
        <w:gridCol w:w="3312"/>
        <w:gridCol w:w="1512"/>
        <w:gridCol w:w="1944"/>
        <w:gridCol w:w="1872"/>
        <w:gridCol w:w="720"/>
      </w:tblGrid>
      <w:tr>
        <w:trPr>
          <w:tblHeader w:val="true"/>
          <w:cantSplit w:val="true"/>
        </w:trPr>
        <w:tc>
          <w:tcPr>
            <w:tcW w:type="dxa" w:w="331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Faaliyet</w:t>
            </w:r>
          </w:p>
        </w:tc>
        <w:tc>
          <w:tcPr>
            <w:tcW w:type="dxa" w:w="151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A</w:t>
            </w:r>
          </w:p>
        </w:tc>
        <w:tc>
          <w:tcPr>
            <w:tcW w:type="dxa" w:w="194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R</w:t>
            </w:r>
          </w:p>
        </w:tc>
        <w:tc>
          <w:tcPr>
            <w:tcW w:type="dxa" w:w="187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C</w:t>
            </w:r>
          </w:p>
        </w:tc>
        <w:tc>
          <w:tcPr>
            <w:tcW w:type="dxa" w:w="72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I</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Ürün kapsamı ve öncelik</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3E Akademi</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Ürün yöneticisi</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Alan uzmanları, teknik ekip</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Yönetim</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Mevzuat kuralı yayını</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Alan sorumlusu</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Mevzuat yöneticisi</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Hukuk, operasyon</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Teknik ekip</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Teknik mimari</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Teknik lider</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Geliştirme ekibi</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Ürün, güvenlik</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Yönetim</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Müşteri verisi</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Firma yöneticisi</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Firma operatörü</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3E operasyon</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İlgili kullanıcılar</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Eğitim programı</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Operasyon yöneticisi</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Eğitim planlama</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Eğitmen, firma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Katılımcılar</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Resmî işlem kaydı</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Yetkili kullanıcı</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e-İşlem sorumlusu</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İkinci kontrol</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Firma</w:t>
            </w:r>
          </w:p>
        </w:tc>
      </w:tr>
      <w:tr>
        <w:trPr>
          <w:cantSplit w:val="true"/>
        </w:trPr>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Canlıya geçiş</w:t>
            </w:r>
          </w:p>
        </w:tc>
        <w:tc>
          <w:tcPr>
            <w:tcW w:type="dxa" w:w="15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Ürün sahibi</w:t>
            </w:r>
          </w:p>
        </w:tc>
        <w:tc>
          <w:tcPr>
            <w:tcW w:type="dxa" w:w="19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Teknik lider</w:t>
            </w:r>
          </w:p>
        </w:tc>
        <w:tc>
          <w:tcPr>
            <w:tcW w:type="dxa" w:w="18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Operasyon, güvenlik</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Tüm paydaşlar</w:t>
            </w:r>
          </w:p>
        </w:tc>
      </w:tr>
    </w:tbl>
    <w:p>
      <w:pPr>
        <w:spacing w:after="40"/>
      </w:pPr>
    </w:p>
    <w:p>
      <w:pPr>
        <w:pStyle w:val="Heading1"/>
        <w:pageBreakBefore/>
        <w:keepNext/>
        <w:keepLines/>
      </w:pPr>
      <w:r>
        <w:t>5. Mevzuat ve Uyum Temeli</w:t>
      </w:r>
    </w:p>
    <w:p>
      <w:r>
        <w:rPr>
          <w:rFonts w:ascii="Calibri" w:hAnsi="Calibri" w:eastAsia="Calibri"/>
          <w:i w:val="0"/>
        </w:rPr>
        <w:t>Kural motoru mevzuatın metnini yazılıma gömmemeli; her kural için kaynak, madde/ek, yürürlük başlangıcı, yürürlük sonu, sürüm, onaylayan kişi ve değişiklik nedeni saklanmalıdır. Böylece yeni bir yönerge geldiğinde geçmiş kayıtlar bozulmadan yeni hesaplama uygulanabilir.</w:t>
      </w:r>
    </w:p>
    <w:p>
      <w:pPr>
        <w:pStyle w:val="Heading2"/>
      </w:pPr>
      <w:r>
        <w:rPr>
          <w:rFonts w:ascii="Calibri" w:hAnsi="Calibri" w:eastAsia="Calibri"/>
          <w:i w:val="0"/>
        </w:rPr>
        <w:t>5.1 Deniz ticareti gözetim eğitimleri</w:t>
      </w:r>
    </w:p>
    <w:p>
      <w:pPr>
        <w:pStyle w:val="ListBullet"/>
      </w:pPr>
      <w:r>
        <w:rPr>
          <w:rFonts w:ascii="Calibri" w:hAnsi="Calibri" w:eastAsia="Calibri"/>
        </w:rPr>
        <w:t>DGY, yetkili olduğu hizmet alanına uygun eğitimi almalı ve belgelendirmelidir.</w:t>
      </w:r>
    </w:p>
    <w:p>
      <w:pPr>
        <w:pStyle w:val="ListBullet"/>
      </w:pPr>
      <w:r>
        <w:rPr>
          <w:rFonts w:ascii="Calibri" w:hAnsi="Calibri" w:eastAsia="Calibri"/>
        </w:rPr>
        <w:t>Eğitim süreleri hizmet alanına göre 8, 12 veya 16 saattir.</w:t>
      </w:r>
    </w:p>
    <w:p>
      <w:pPr>
        <w:pStyle w:val="ListBullet"/>
      </w:pPr>
      <w:r>
        <w:rPr>
          <w:rFonts w:ascii="Calibri" w:hAnsi="Calibri" w:eastAsia="Calibri"/>
        </w:rPr>
        <w:t>Her hizmet alanının Ek-3’te belirtilen konu başlıkları, ayrı bir sürümlü müfredat olarak saklanır; yalnızca eğitim adını ve toplam süreyi kaydetmek yeterli değildir.</w:t>
      </w:r>
    </w:p>
    <w:p>
      <w:pPr>
        <w:pStyle w:val="ListBullet"/>
      </w:pPr>
      <w:r>
        <w:rPr>
          <w:rFonts w:ascii="Calibri" w:hAnsi="Calibri" w:eastAsia="Calibri"/>
        </w:rPr>
        <w:t>Eğitimler hizmet alanı bazında beş yılda bir yenilenir.</w:t>
      </w:r>
    </w:p>
    <w:p>
      <w:pPr>
        <w:pStyle w:val="ListBullet"/>
      </w:pPr>
      <w:r>
        <w:rPr>
          <w:rFonts w:ascii="Calibri" w:hAnsi="Calibri" w:eastAsia="Calibri"/>
        </w:rPr>
        <w:t>Eğitim belgeleri işletme tarafından beş yıl saklanır.</w:t>
      </w:r>
    </w:p>
    <w:p>
      <w:pPr>
        <w:pStyle w:val="ListBullet"/>
      </w:pPr>
      <w:r>
        <w:rPr>
          <w:rFonts w:ascii="Calibri" w:hAnsi="Calibri" w:eastAsia="Calibri"/>
        </w:rPr>
        <w:t>Program içeriği, yeri, tarihi ve eğitici bilgileri eğitimden en az 15 gün önce İdareye bildirilir; onaysız program geçerli sayılmaz.</w:t>
      </w:r>
    </w:p>
    <w:p>
      <w:pPr>
        <w:pStyle w:val="ListBullet"/>
      </w:pPr>
      <w:r>
        <w:rPr>
          <w:rFonts w:ascii="Calibri" w:hAnsi="Calibri" w:eastAsia="Calibri"/>
        </w:rPr>
        <w:t>Belirli denizcilik lisans, ön lisans ve mesleki eğitim mezuniyetleri için eğitim şartı muafiyeti diploma kanıtına bağlı olarak yönetilir.</w:t>
      </w:r>
    </w:p>
    <w:p>
      <w:pPr>
        <w:pStyle w:val="ListBullet"/>
      </w:pPr>
      <w:r>
        <w:rPr>
          <w:rFonts w:ascii="Calibri" w:hAnsi="Calibri" w:eastAsia="Calibri"/>
        </w:rPr>
        <w:t>DGİYB beş yıl geçerlidir; yenileme takibi belge bitiminden en az 90 gün önce başlatılır.</w:t>
      </w:r>
    </w:p>
    <w:p>
      <w:pPr>
        <w:pStyle w:val="TableCitation"/>
      </w:pPr>
      <w:r>
        <w:rPr>
          <w:rFonts w:ascii="Calibri" w:hAnsi="Calibri" w:eastAsia="Calibri"/>
          <w:i/>
          <w:color w:val="667085"/>
          <w:sz w:val="18"/>
        </w:rPr>
        <w:t>Kaynak: Deniz Ticareti Gözetim Hizmetleri Uygulama Yönergesi, 14.08.2020.</w:t>
      </w:r>
      <w:r>
        <w:t xml:space="preserve"> </w:t>
      </w:r>
      <w:hyperlink r:id="rId11">
        <w:r>
          <w:rPr>
            <w:color w:val="2E74B5"/>
            <w:u w:val="single"/>
            <w:rFonts w:ascii="Calibri" w:hAnsi="Calibri"/>
          </w:rPr>
          <w:t>Resmî kaynak</w:t>
        </w:r>
      </w:hyperlink>
    </w:p>
    <w:tbl>
      <w:tblPr>
        <w:tblStyle w:val="TableGrid"/>
        <w:tblW w:type="dxa" w:w="9360"/>
        <w:jc w:val="left"/>
        <w:tblLayout w:type="fixed"/>
        <w:tblLook w:firstColumn="1" w:firstRow="1" w:lastColumn="0" w:lastRow="0" w:noHBand="0" w:noVBand="1" w:val="04A0"/>
        <w:tblInd w:type="dxa" w:w="120"/>
      </w:tblPr>
      <w:tblGrid>
        <w:gridCol w:w="2592"/>
        <w:gridCol w:w="5904"/>
        <w:gridCol w:w="864"/>
      </w:tblGrid>
      <w:tr>
        <w:trPr>
          <w:tblHeader w:val="true"/>
          <w:cantSplit w:val="true"/>
        </w:trPr>
        <w:tc>
          <w:tcPr>
            <w:tcW w:type="dxa" w:w="259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Hizmet Alanı</w:t>
            </w:r>
          </w:p>
        </w:tc>
        <w:tc>
          <w:tcPr>
            <w:tcW w:type="dxa" w:w="590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Zorunlu Müfredat Özeti</w:t>
            </w:r>
          </w:p>
        </w:tc>
        <w:tc>
          <w:tcPr>
            <w:tcW w:type="dxa" w:w="86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Süre</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 alım-satım sürveyi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 tipi/yapısı/makine-teçhizat; bakım, kontrol, sürvey ve belgelendirme</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Kiraya giriş-çıkış sürveyi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Kiralama sözleşmeleri; gemi tekniği; bakım-belgelendirme; yakıt tankı ölçümü</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12</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Söküm sürveyi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 söküm faaliyetleri, mevzuat ve söküme alınma prosedürü</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 miktarı sürveyi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Yükleme Sınırı Sözleşmesi; Plimsol/Draft markaları; hesaplamalar ve yük evrakları</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Yağ ve yakıt ölçümü sürveyi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 yakıt tankları ölçüm ve miktar hesaplama yöntemleri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Yükleme/boşaltma/aktarma</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Liman mevzuatı; yükler/evrak; işaretleme; operasyon, istif, gözetim ve gemi-liman prosedürleri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Liman ve tank sahası sürveyi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Liman işletmeciliği mevzuatı/organizasyonu; yükleme, boşaltma ve depolama-istifleme</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Konteyner stok ve istif emniyeti</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 türleri; operasyon; yükleme-boşaltma/depolama-istifleme; gözetim kuralları</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Yükleme öncesi kontrol</w:t>
            </w:r>
          </w:p>
        </w:tc>
        <w:tc>
          <w:tcPr>
            <w:tcW w:type="dxa" w:w="59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 türleri; hazırlıklar; yükleme, boşaltma ve tahliye kuralları/prosedürleri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w:t>
            </w:r>
          </w:p>
        </w:tc>
      </w:tr>
    </w:tbl>
    <w:p>
      <w:pPr>
        <w:spacing w:after="40"/>
      </w:pPr>
    </w:p>
    <w:p>
      <w:r>
        <w:rPr>
          <w:rFonts w:ascii="Calibri" w:hAnsi="Calibri" w:eastAsia="Calibri"/>
          <w:i/>
        </w:rPr>
        <w:t>Müfredatların tam konu listeleri ve önerilen sistem kodları Ek A’da verilmiştir. Yazılım, hizmet alanı seçildiğinde ilgili müfredat sürümünü ve toplam saati programa otomatik yüklemelidir.</w:t>
      </w:r>
    </w:p>
    <w:p>
      <w:pPr>
        <w:pStyle w:val="Heading2"/>
      </w:pPr>
      <w:r>
        <w:rPr>
          <w:rFonts w:ascii="Calibri" w:hAnsi="Calibri" w:eastAsia="Calibri"/>
          <w:i w:val="0"/>
        </w:rPr>
        <w:t>5.2 Tehlikeli yük deniz gözetim kod eğitimleri</w:t>
      </w:r>
    </w:p>
    <w:tbl>
      <w:tblPr>
        <w:tblStyle w:val="TableGrid"/>
        <w:tblW w:type="dxa" w:w="9360"/>
        <w:jc w:val="left"/>
        <w:tblLayout w:type="fixed"/>
        <w:tblLook w:firstColumn="1" w:firstRow="1" w:lastColumn="0" w:lastRow="0" w:noHBand="0" w:noVBand="1" w:val="04A0"/>
        <w:tblInd w:type="dxa" w:w="120"/>
      </w:tblPr>
      <w:tblGrid>
        <w:gridCol w:w="1728"/>
        <w:gridCol w:w="1440"/>
        <w:gridCol w:w="1224"/>
        <w:gridCol w:w="1656"/>
        <w:gridCol w:w="3312"/>
      </w:tblGrid>
      <w:tr>
        <w:trPr>
          <w:tblHeader w:val="true"/>
          <w:cantSplit w:val="true"/>
        </w:trPr>
        <w:tc>
          <w:tcPr>
            <w:tcW w:type="dxa" w:w="172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Eğitim</w:t>
            </w:r>
          </w:p>
        </w:tc>
        <w:tc>
          <w:tcPr>
            <w:tcW w:type="dxa" w:w="144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Temel Süre</w:t>
            </w:r>
          </w:p>
        </w:tc>
        <w:tc>
          <w:tcPr>
            <w:tcW w:type="dxa" w:w="122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Yenileme</w:t>
            </w:r>
          </w:p>
        </w:tc>
        <w:tc>
          <w:tcPr>
            <w:tcW w:type="dxa" w:w="165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Yenileme Süresi</w:t>
            </w:r>
          </w:p>
        </w:tc>
        <w:tc>
          <w:tcPr>
            <w:tcW w:type="dxa" w:w="331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Eğitici Ön Şartı</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IMDG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2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Yetkili kuruluş/ilgili eğitici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IMSBC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2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IMSBC eğitici yetkisi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IBC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Uygun zabit/tanker yeterliliği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IGC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Uygun zabit/tanker yeterliliği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MARPOL 73/78</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Uygun zabit/tanker yeterliliği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CTU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CTU eğitici yetkisi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CSS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CTU eğitici belgesi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Grain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En az uzakyol birinci zabiti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TDC Kod</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En az uzakyol birinci zabiti</w:t>
            </w:r>
          </w:p>
        </w:tc>
      </w:tr>
      <w:tr>
        <w:trPr>
          <w:cantSplit w:val="true"/>
        </w:trPr>
        <w:tc>
          <w:tcPr>
            <w:tcW w:type="dxa" w:w="17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Hurda / RÖRK</w:t>
            </w:r>
          </w:p>
        </w:tc>
        <w:tc>
          <w:tcPr>
            <w:tcW w:type="dxa" w:w="144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Yetkili kurum</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Kural tabanlı</w:t>
            </w:r>
          </w:p>
        </w:tc>
        <w:tc>
          <w:tcPr>
            <w:tcW w:type="dxa" w:w="165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Kural tabanlı</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Yetkili kurum/eğitmen</w:t>
            </w:r>
          </w:p>
        </w:tc>
      </w:tr>
    </w:tbl>
    <w:p>
      <w:pPr>
        <w:spacing w:after="40"/>
      </w:pPr>
    </w:p>
    <w:p>
      <w:pPr>
        <w:pStyle w:val="TableCitation"/>
      </w:pPr>
      <w:r>
        <w:rPr>
          <w:rFonts w:ascii="Calibri" w:hAnsi="Calibri" w:eastAsia="Calibri"/>
          <w:i/>
          <w:color w:val="667085"/>
          <w:sz w:val="18"/>
        </w:rPr>
        <w:t>* IMDG ve CTU sürelerinde ilgili eğitim yönergesi hükümleri de kontrol edilir. UAB sitesindeki değişikliklerin işlendiği nüshada CSS Kod ifadesi esas alınmıştır.</w:t>
      </w:r>
      <w:r>
        <w:t xml:space="preserve"> </w:t>
      </w:r>
      <w:hyperlink r:id="rId12">
        <w:r>
          <w:rPr>
            <w:color w:val="2E74B5"/>
            <w:u w:val="single"/>
            <w:rFonts w:ascii="Calibri" w:hAnsi="Calibri"/>
          </w:rPr>
          <w:t>Resmî kaynak</w:t>
        </w:r>
      </w:hyperlink>
    </w:p>
    <w:p>
      <w:pPr>
        <w:pStyle w:val="ListBullet"/>
      </w:pPr>
      <w:r>
        <w:rPr>
          <w:rFonts w:ascii="Calibri" w:hAnsi="Calibri" w:eastAsia="Calibri"/>
        </w:rPr>
        <w:t>Bir eğitim günü 8 saattir.</w:t>
      </w:r>
    </w:p>
    <w:p>
      <w:pPr>
        <w:pStyle w:val="ListBullet"/>
      </w:pPr>
      <w:r>
        <w:rPr>
          <w:rFonts w:ascii="Calibri" w:hAnsi="Calibri" w:eastAsia="Calibri"/>
        </w:rPr>
        <w:t>Tehlikeli yük deniz gözetim seminerlerinde katılımcı sayısı en fazla 25’tir.</w:t>
      </w:r>
    </w:p>
    <w:p>
      <w:pPr>
        <w:pStyle w:val="ListBullet"/>
      </w:pPr>
      <w:r>
        <w:rPr>
          <w:rFonts w:ascii="Calibri" w:hAnsi="Calibri" w:eastAsia="Calibri"/>
        </w:rPr>
        <w:t>Sınav en az 25 sorudan oluşur; başarı için en az 70/100 gerekir.</w:t>
      </w:r>
    </w:p>
    <w:p>
      <w:pPr>
        <w:pStyle w:val="ListBullet"/>
      </w:pPr>
      <w:r>
        <w:rPr>
          <w:rFonts w:ascii="Calibri" w:hAnsi="Calibri" w:eastAsia="Calibri"/>
        </w:rPr>
        <w:t>İşletme, çalışan yetkililerinin listesini ve işe giriş/çıkış değişikliklerini güncel tutar.</w:t>
      </w:r>
    </w:p>
    <w:p>
      <w:pPr>
        <w:pStyle w:val="ListBullet"/>
      </w:pPr>
      <w:r>
        <w:rPr>
          <w:rFonts w:ascii="Calibri" w:hAnsi="Calibri" w:eastAsia="Calibri"/>
        </w:rPr>
        <w:t>IBC, IGC ve MARPOL alanındaki gözetim yetkilileri için mühendislik diploması/yeterlilik kontrolü yapılır.</w:t>
      </w:r>
    </w:p>
    <w:p>
      <w:pPr>
        <w:pStyle w:val="ListBullet"/>
      </w:pPr>
      <w:r>
        <w:rPr>
          <w:rFonts w:ascii="Calibri" w:hAnsi="Calibri" w:eastAsia="Calibri"/>
        </w:rPr>
        <w:t>Tehlikeli Madde El Kitabı ve ilgili prosedürlerin iki yıllık güncelleme takibi uyum dokümanları modülünde tutulabilir.</w:t>
      </w:r>
    </w:p>
    <w:p>
      <w:pPr>
        <w:pStyle w:val="Heading2"/>
      </w:pPr>
      <w:r>
        <w:rPr>
          <w:rFonts w:ascii="Calibri" w:hAnsi="Calibri" w:eastAsia="Calibri"/>
          <w:i w:val="0"/>
        </w:rPr>
        <w:t>5.3 IMDG Kod görev bazlı eğitim seminerleri</w:t>
      </w:r>
    </w:p>
    <w:p>
      <w:r>
        <w:rPr>
          <w:rFonts w:ascii="Calibri" w:hAnsi="Calibri" w:eastAsia="Calibri"/>
          <w:i w:val="0"/>
        </w:rPr>
        <w:t>IMDG Kod Eğitim Seminerlerine İlişkin Yönerge, eğitim ihtiyacını yalnızca “IMDG eğitimi” adıyla değil, personelin fiilen yaptığı on üç görev üzerinden tanımlar. Bu nedenle sistemde görev, eğitim satırı, müfredat, toplam süre, yenileme süresi ve kapsama ilişkisi ayrı kayıtlar olmalıdır.</w:t>
      </w:r>
    </w:p>
    <w:tbl>
      <w:tblPr>
        <w:tblStyle w:val="TableGrid"/>
        <w:tblW w:type="dxa" w:w="9360"/>
        <w:jc w:val="left"/>
        <w:tblLayout w:type="fixed"/>
        <w:tblLook w:firstColumn="1" w:firstRow="1" w:lastColumn="0" w:lastRow="0" w:noHBand="0" w:noVBand="1" w:val="04A0"/>
        <w:tblInd w:type="dxa" w:w="120"/>
      </w:tblPr>
      <w:tblGrid>
        <w:gridCol w:w="504"/>
        <w:gridCol w:w="3168"/>
        <w:gridCol w:w="720"/>
        <w:gridCol w:w="792"/>
        <w:gridCol w:w="1080"/>
        <w:gridCol w:w="3096"/>
      </w:tblGrid>
      <w:tr>
        <w:trPr>
          <w:tblHeader w:val="true"/>
          <w:cantSplit w:val="true"/>
        </w:trPr>
        <w:tc>
          <w:tcPr>
            <w:tcW w:type="dxa" w:w="50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No</w:t>
            </w:r>
          </w:p>
        </w:tc>
        <w:tc>
          <w:tcPr>
            <w:tcW w:type="dxa" w:w="316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Görev</w:t>
            </w:r>
          </w:p>
        </w:tc>
        <w:tc>
          <w:tcPr>
            <w:tcW w:type="dxa" w:w="72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İlk</w:t>
            </w:r>
          </w:p>
        </w:tc>
        <w:tc>
          <w:tcPr>
            <w:tcW w:type="dxa" w:w="79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Yen.</w:t>
            </w:r>
          </w:p>
        </w:tc>
        <w:tc>
          <w:tcPr>
            <w:tcW w:type="dxa" w:w="108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Periyot</w:t>
            </w:r>
          </w:p>
        </w:tc>
        <w:tc>
          <w:tcPr>
            <w:tcW w:type="dxa" w:w="309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Kapsam/Kural</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Sınıflandırma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IMDG sınıflandırma görev müfredatı</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Paketleme</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Paketleme ve ilgili IMDG hükümleri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3</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İşaretleme, etiketleme, plakartlandırma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İşaret/etiket/plakart görev müfredatı</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Yük taşıma birimlerinin yüklenmesi/boşaltılması</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CTU Kod bileşeni; 2 ve 3’ü kapsar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5</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Taşıma belgelerinin hazırlanması</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Belge hazırlama görev müfredatı</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6</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Taşıma için arz veya kabul</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20</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Arz/kabul ve uygunluk kontrolleri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7</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Elleçleme sırasında taşıma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Elleçleme içi taşıma; sürücü için SRC-5 alternatifi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Yükleme/istif planlarının hazırlanması</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24</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Planlama; 5 ve 6’yı kapsar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9</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Gemilerden yükleme/boşaltma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Gemi operasyonu; 7’yi kapsar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10</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Gözetim</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Paketli tehlikeli yüklere yönelik gözetim</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11</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Tartı aleti operatörü</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5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CTU Kod; tehlikeli yük durumunda görev 4 uygulanır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Fumigasyon/gazdan arındırma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5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IMDG 5.5.2 ve ilgili IMO emniyet tavsiyeleri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13</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Kategori 1</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20</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Konteyner elleçleme + konteyner iç yükleme birleşik eğitimi</w:t>
            </w:r>
          </w:p>
        </w:tc>
      </w:tr>
    </w:tbl>
    <w:p>
      <w:pPr>
        <w:spacing w:after="40"/>
      </w:pPr>
    </w:p>
    <w:p>
      <w:pPr>
        <w:pStyle w:val="ListBullet"/>
      </w:pPr>
      <w:r>
        <w:rPr>
          <w:rFonts w:ascii="Calibri" w:hAnsi="Calibri" w:eastAsia="Calibri"/>
        </w:rPr>
        <w:t>Konteyner elleçleyen personel görev 9; konteyner iç yükleme yapan personel görev 4; her ikisini yapan personel görev 13 ile eşleştirilir.</w:t>
      </w:r>
    </w:p>
    <w:p>
      <w:pPr>
        <w:pStyle w:val="ListBullet"/>
      </w:pPr>
      <w:r>
        <w:rPr>
          <w:rFonts w:ascii="Calibri" w:hAnsi="Calibri" w:eastAsia="Calibri"/>
        </w:rPr>
        <w:t>Sıvı dökme tehlikeli yükü kara tankerine yükleyen personel görev 3 ile eşleştirilir.</w:t>
      </w:r>
    </w:p>
    <w:p>
      <w:pPr>
        <w:pStyle w:val="ListBullet"/>
      </w:pPr>
      <w:r>
        <w:rPr>
          <w:rFonts w:ascii="Calibri" w:hAnsi="Calibri" w:eastAsia="Calibri"/>
        </w:rPr>
        <w:t>Dolu Konteyner Brüt Ağırlık Tespiti tartı operatörü tehlikeli yük elleçliyorsa görev 4, elleçlemiyorsa görev 11 eğitimini alır.</w:t>
      </w:r>
    </w:p>
    <w:p>
      <w:pPr>
        <w:pStyle w:val="ListBullet"/>
      </w:pPr>
      <w:r>
        <w:rPr>
          <w:rFonts w:ascii="Calibri" w:hAnsi="Calibri" w:eastAsia="Calibri"/>
        </w:rPr>
        <w:t>Paketli tehlikeli yük deniz gözetim yetkilisi görev 10; fumigasyon/gazdan arındırma personeli görev 12 ile eşleştirilir.</w:t>
      </w:r>
    </w:p>
    <w:p>
      <w:pPr>
        <w:pStyle w:val="ListBullet"/>
      </w:pPr>
      <w:r>
        <w:rPr>
          <w:rFonts w:ascii="Calibri" w:hAnsi="Calibri" w:eastAsia="Calibri"/>
        </w:rPr>
        <w:t>Görev 4, görev 2 ve 3’ü; görev 9, görev 7’yi; görev 8, görev 5 ve 6’yı kapsar. Sertifikada kapsanan görev alanları ayrıca belirtilir.</w:t>
      </w:r>
    </w:p>
    <w:p>
      <w:pPr>
        <w:pStyle w:val="ListBullet"/>
      </w:pPr>
      <w:r>
        <w:rPr>
          <w:rFonts w:ascii="Calibri" w:hAnsi="Calibri" w:eastAsia="Calibri"/>
        </w:rPr>
        <w:t>Göreve yeni başlayan personel en geç üç ay içinde eğitim alır; bu sürede yalnız eğitimli personelin yanında çalışabilir.</w:t>
      </w:r>
    </w:p>
    <w:p>
      <w:pPr>
        <w:pStyle w:val="ListBullet"/>
      </w:pPr>
      <w:r>
        <w:rPr>
          <w:rFonts w:ascii="Calibri" w:hAnsi="Calibri" w:eastAsia="Calibri"/>
        </w:rPr>
        <w:t>Gece vardiyası sonrası dinlenme kuralı, TMGD koordinasyonu ve görev alanının sertifikada yazılması program kontrol listesine eklenir.</w:t>
      </w:r>
    </w:p>
    <w:p>
      <w:pPr>
        <w:pStyle w:val="TableCitation"/>
      </w:pPr>
      <w:r>
        <w:rPr>
          <w:rFonts w:ascii="Calibri" w:hAnsi="Calibri" w:eastAsia="Calibri"/>
          <w:i/>
          <w:color w:val="667085"/>
          <w:sz w:val="18"/>
        </w:rPr>
        <w:t>Kaynak: 26.07.2019 tarihli IMDG Kod Eğitim Seminerlerine İlişkin Yönerge ve eki görev/saat matrisi. Canlı kural yayımından önce güncel konsolide nüsha alan sorumlusu tarafından doğrulanır.</w:t>
      </w:r>
      <w:r>
        <w:t xml:space="preserve"> </w:t>
      </w:r>
      <w:hyperlink r:id="rId13">
        <w:r>
          <w:rPr>
            <w:color w:val="2E74B5"/>
            <w:u w:val="single"/>
            <w:rFonts w:ascii="Calibri" w:hAnsi="Calibri"/>
          </w:rPr>
          <w:t>Resmî kaynak</w:t>
        </w:r>
      </w:hyperlink>
    </w:p>
    <w:p>
      <w:pPr>
        <w:pStyle w:val="Heading2"/>
      </w:pPr>
      <w:r>
        <w:rPr>
          <w:rFonts w:ascii="Calibri" w:hAnsi="Calibri" w:eastAsia="Calibri"/>
          <w:i w:val="0"/>
        </w:rPr>
        <w:t>5.4 Kural önceliği ve çelişki yönetimi</w:t>
      </w:r>
    </w:p>
    <w:p>
      <w:pPr>
        <w:pStyle w:val="ListBullet"/>
      </w:pPr>
      <w:r>
        <w:rPr>
          <w:rFonts w:ascii="Calibri" w:hAnsi="Calibri" w:eastAsia="Calibri"/>
        </w:rPr>
        <w:t>İşlem tarihinde yürürlükte olan onaylı kural sürümü kullanılır.</w:t>
      </w:r>
    </w:p>
    <w:p>
      <w:pPr>
        <w:pStyle w:val="ListBullet"/>
      </w:pPr>
      <w:r>
        <w:rPr>
          <w:rFonts w:ascii="Calibri" w:hAnsi="Calibri" w:eastAsia="Calibri"/>
        </w:rPr>
        <w:t>Kaynaklar arasında çelişki tespit edilirse otomatik karar verilmez; “mevzuat inceleme gerekli” durumu açılır.</w:t>
      </w:r>
    </w:p>
    <w:p>
      <w:pPr>
        <w:pStyle w:val="ListBullet"/>
      </w:pPr>
      <w:r>
        <w:rPr>
          <w:rFonts w:ascii="Calibri" w:hAnsi="Calibri" w:eastAsia="Calibri"/>
        </w:rPr>
        <w:t>Kural değişikliği geçmiş sertifikaların süresini geriye dönük değiştirmez; hukuk/alan sorumlusu kararı gerekir.</w:t>
      </w:r>
    </w:p>
    <w:p>
      <w:pPr>
        <w:pStyle w:val="ListBullet"/>
      </w:pPr>
      <w:r>
        <w:rPr>
          <w:rFonts w:ascii="Calibri" w:hAnsi="Calibri" w:eastAsia="Calibri"/>
        </w:rPr>
        <w:t>Süreleri resmî kurum tarafından belirlenen eğitimler yapılandırılabilir tutulur.</w:t>
      </w:r>
    </w:p>
    <w:p>
      <w:pPr>
        <w:pStyle w:val="ListBullet"/>
      </w:pPr>
      <w:r>
        <w:rPr>
          <w:rFonts w:ascii="Calibri" w:hAnsi="Calibri" w:eastAsia="Calibri"/>
        </w:rPr>
        <w:t>Muafiyet, yalnızca türü, kapsamı, dayanağı ve kanıt belgesiyle geçerli olur.</w:t>
      </w:r>
    </w:p>
    <w:p>
      <w:pPr>
        <w:pStyle w:val="Heading1"/>
        <w:pageBreakBefore/>
        <w:keepNext/>
        <w:keepLines/>
      </w:pPr>
      <w:r>
        <w:t>6. Hedef İşletim Modeli ve Uçtan Uca Akış</w:t>
      </w:r>
    </w:p>
    <w:p>
      <w:pPr>
        <w:spacing w:before="80" w:after="160"/>
        <w:jc w:val="center"/>
      </w:pPr>
      <w:r>
        <w:drawing>
          <wp:inline xmlns:a="http://schemas.openxmlformats.org/drawingml/2006/main" xmlns:pic="http://schemas.openxmlformats.org/drawingml/2006/picture">
            <wp:extent cx="5806440" cy="3825996"/>
            <wp:docPr id="1" name="Picture 1" descr="Firma ve personel kaydından yenileme, teklif ve görevlendirmeye uzanan sekiz adımlı eğitim ve uyum yaşam döngüsü." title="Firma ve personel kaydından yenileme, teklif ve görevlendirmeye uzanan sekiz adımlı eğitim ve uyum yaşam döngüsü."/>
            <wp:cNvGraphicFramePr>
              <a:graphicFrameLocks noChangeAspect="1"/>
            </wp:cNvGraphicFramePr>
            <a:graphic>
              <a:graphicData uri="http://schemas.openxmlformats.org/drawingml/2006/picture">
                <pic:pic>
                  <pic:nvPicPr>
                    <pic:cNvPr id="0" name="egitim_yasam_dongusu.png"/>
                    <pic:cNvPicPr/>
                  </pic:nvPicPr>
                  <pic:blipFill>
                    <a:blip r:embed="rId14"/>
                    <a:stretch>
                      <a:fillRect/>
                    </a:stretch>
                  </pic:blipFill>
                  <pic:spPr>
                    <a:xfrm>
                      <a:off x="0" y="0"/>
                      <a:ext cx="5806440" cy="3825996"/>
                    </a:xfrm>
                    <a:prstGeom prst="rect"/>
                  </pic:spPr>
                </pic:pic>
              </a:graphicData>
            </a:graphic>
          </wp:inline>
        </w:drawing>
      </w:r>
    </w:p>
    <w:p>
      <w:pPr>
        <w:pStyle w:val="Heading2"/>
      </w:pPr>
      <w:r>
        <w:rPr>
          <w:rFonts w:ascii="Calibri" w:hAnsi="Calibri" w:eastAsia="Calibri"/>
          <w:i w:val="0"/>
        </w:rPr>
        <w:t>6.1 Ana süreç</w:t>
      </w:r>
    </w:p>
    <w:p>
      <w:pPr>
        <w:pStyle w:val="ListNumber"/>
        <w:numPr>
          <w:ilvl w:val="0"/>
          <w:numId w:val="10"/>
        </w:numPr>
      </w:pPr>
      <w:r>
        <w:rPr>
          <w:rFonts w:ascii="Calibri" w:hAnsi="Calibri" w:eastAsia="Calibri"/>
        </w:rPr>
        <w:t>Firma ve şube açılır; yetkili kişiler, hizmet alanları, sözleşmeler ve veri sorumluluğu ilişkisi tanımlanır.</w:t>
      </w:r>
    </w:p>
    <w:p>
      <w:pPr>
        <w:pStyle w:val="ListNumber"/>
        <w:numPr>
          <w:ilvl w:val="0"/>
          <w:numId w:val="10"/>
        </w:numPr>
      </w:pPr>
      <w:r>
        <w:rPr>
          <w:rFonts w:ascii="Calibri" w:hAnsi="Calibri" w:eastAsia="Calibri"/>
        </w:rPr>
        <w:t>Kişi kaydı oluşturulur; istihdam dönemi, SGK/çalışma kanıtı, görev ve firma ilişkisi eklenir.</w:t>
      </w:r>
    </w:p>
    <w:p>
      <w:pPr>
        <w:pStyle w:val="ListNumber"/>
        <w:numPr>
          <w:ilvl w:val="0"/>
          <w:numId w:val="10"/>
        </w:numPr>
      </w:pPr>
      <w:r>
        <w:rPr>
          <w:rFonts w:ascii="Calibri" w:hAnsi="Calibri" w:eastAsia="Calibri"/>
        </w:rPr>
        <w:t>Görev ve hizmet alanı, yürürlükteki mevzuat kuralıyla eşleştirilir; eksik eğitim, belge, diploma veya muafiyet hesaplanır.</w:t>
      </w:r>
    </w:p>
    <w:p>
      <w:pPr>
        <w:pStyle w:val="ListNumber"/>
        <w:numPr>
          <w:ilvl w:val="0"/>
          <w:numId w:val="10"/>
        </w:numPr>
      </w:pPr>
      <w:r>
        <w:rPr>
          <w:rFonts w:ascii="Calibri" w:hAnsi="Calibri" w:eastAsia="Calibri"/>
        </w:rPr>
        <w:t>Program taslağında eğitim, tarih, yer, eğitmen, salon ve katılımcılar seçilir; uygunluk ve çakışma motoru çalışır.</w:t>
      </w:r>
    </w:p>
    <w:p>
      <w:pPr>
        <w:pStyle w:val="ListNumber"/>
        <w:numPr>
          <w:ilvl w:val="0"/>
          <w:numId w:val="10"/>
        </w:numPr>
      </w:pPr>
      <w:r>
        <w:rPr>
          <w:rFonts w:ascii="Calibri" w:hAnsi="Calibri" w:eastAsia="Calibri"/>
        </w:rPr>
        <w:t>Gerekli resmî ön bildirim/onay görevi açılır; başvuru numarası, KEP kanıtı ve sonuç kaydedilir.</w:t>
      </w:r>
    </w:p>
    <w:p>
      <w:pPr>
        <w:pStyle w:val="ListNumber"/>
        <w:numPr>
          <w:ilvl w:val="0"/>
          <w:numId w:val="10"/>
        </w:numPr>
      </w:pPr>
      <w:r>
        <w:rPr>
          <w:rFonts w:ascii="Calibri" w:hAnsi="Calibri" w:eastAsia="Calibri"/>
        </w:rPr>
        <w:t>Yoklama, eğitim saati, sınav, puan, pratik değerlendirme ve istisnalar kayıt altına alınır.</w:t>
      </w:r>
    </w:p>
    <w:p>
      <w:pPr>
        <w:pStyle w:val="ListNumber"/>
        <w:numPr>
          <w:ilvl w:val="0"/>
          <w:numId w:val="10"/>
        </w:numPr>
      </w:pPr>
      <w:r>
        <w:rPr>
          <w:rFonts w:ascii="Calibri" w:hAnsi="Calibri" w:eastAsia="Calibri"/>
        </w:rPr>
        <w:t>Başarılı katılımcı için belge/sertifika oluşturulur; resmî işlem kapanışı ve denetim dosyası tamamlanır.</w:t>
      </w:r>
    </w:p>
    <w:p>
      <w:pPr>
        <w:pStyle w:val="ListNumber"/>
        <w:numPr>
          <w:ilvl w:val="0"/>
          <w:numId w:val="10"/>
        </w:numPr>
      </w:pPr>
      <w:r>
        <w:rPr>
          <w:rFonts w:ascii="Calibri" w:hAnsi="Calibri" w:eastAsia="Calibri"/>
        </w:rPr>
        <w:t>Yeni geçerlilik tarihi hesaplanır; yenileme bildirimleri, teklif fırsatı ve görevlendirme uygunluğu güncellenir.</w:t>
      </w:r>
    </w:p>
    <w:p>
      <w:pPr>
        <w:pStyle w:val="Heading2"/>
      </w:pPr>
      <w:r>
        <w:rPr>
          <w:rFonts w:ascii="Calibri" w:hAnsi="Calibri" w:eastAsia="Calibri"/>
          <w:i w:val="0"/>
        </w:rPr>
        <w:t>6.2 Eğitim programı durumları</w:t>
      </w:r>
    </w:p>
    <w:tbl>
      <w:tblPr>
        <w:tblStyle w:val="TableGrid"/>
        <w:tblW w:type="dxa" w:w="9360"/>
        <w:jc w:val="left"/>
        <w:tblLayout w:type="fixed"/>
        <w:tblLook w:firstColumn="1" w:firstRow="1" w:lastColumn="0" w:lastRow="0" w:noHBand="0" w:noVBand="1" w:val="04A0"/>
        <w:tblInd w:type="dxa" w:w="120"/>
      </w:tblPr>
      <w:tblGrid>
        <w:gridCol w:w="2592"/>
        <w:gridCol w:w="6768"/>
      </w:tblGrid>
      <w:tr>
        <w:trPr>
          <w:tblHeader w:val="true"/>
          <w:cantSplit w:val="true"/>
        </w:trPr>
        <w:tc>
          <w:tcPr>
            <w:tcW w:type="dxa" w:w="259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Durum</w:t>
            </w:r>
          </w:p>
        </w:tc>
        <w:tc>
          <w:tcPr>
            <w:tcW w:type="dxa" w:w="676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Geçiş koşulu</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Taslak</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Temel eğitim ve tarih bilgisi girildi</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Ön kontrolde</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Kural motoru, eğitmen, yer ve katılımcılar doğrulanıyor</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Resmî bildirime hazır</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Eksik belge/ön şart yok</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Bildirildi</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Başvuru/KEP kanıtı kaydedildi</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Onay bekliyor</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Resmî sonuç bekleniyor</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Onaylandı</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Eğitim yapılabilir</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Gerçekleşti</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Yoklama ve saat kayıtları tamamlandı</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Sınav tamamlandı</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Tüm sonuçlar girildi ve kilitlendi</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Belgelendi</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Uygun katılımcıların belgeleri üretildi</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e-İşlem tamamlandı</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Resmî kapanış kanıtı eklendi</w:t>
            </w:r>
          </w:p>
        </w:tc>
      </w:tr>
      <w:tr>
        <w:trPr>
          <w:cantSplit w:val="true"/>
        </w:trPr>
        <w:tc>
          <w:tcPr>
            <w:tcW w:type="dxa" w:w="25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Kapandı</w:t>
            </w:r>
          </w:p>
        </w:tc>
        <w:tc>
          <w:tcPr>
            <w:tcW w:type="dxa" w:w="67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Dosya kontrolü ve ikinci onay tamamlandı</w:t>
            </w:r>
          </w:p>
        </w:tc>
      </w:tr>
    </w:tbl>
    <w:p>
      <w:pPr>
        <w:spacing w:after="40"/>
      </w:pPr>
    </w:p>
    <w:p>
      <w:pPr>
        <w:pStyle w:val="Heading2"/>
      </w:pPr>
      <w:r>
        <w:rPr>
          <w:rFonts w:ascii="Calibri" w:hAnsi="Calibri" w:eastAsia="Calibri"/>
          <w:i w:val="0"/>
        </w:rPr>
        <w:t>6.3 İstisna akışları</w:t>
      </w:r>
    </w:p>
    <w:p>
      <w:pPr>
        <w:pStyle w:val="ListBullet"/>
      </w:pPr>
      <w:r>
        <w:rPr>
          <w:rFonts w:ascii="Calibri" w:hAnsi="Calibri" w:eastAsia="Calibri"/>
        </w:rPr>
        <w:t>Eksik belge veya uygun olmayan katılımcı: kayıt beklemeye alınır; hard block uygulanır.</w:t>
      </w:r>
    </w:p>
    <w:p>
      <w:pPr>
        <w:pStyle w:val="ListBullet"/>
      </w:pPr>
      <w:r>
        <w:rPr>
          <w:rFonts w:ascii="Calibri" w:hAnsi="Calibri" w:eastAsia="Calibri"/>
        </w:rPr>
        <w:t>Eğitmen yetkisi veya müsaitliği uygun değil: atama engellenir ve alternatif eğitmen önerilir.</w:t>
      </w:r>
    </w:p>
    <w:p>
      <w:pPr>
        <w:pStyle w:val="ListBullet"/>
      </w:pPr>
      <w:r>
        <w:rPr>
          <w:rFonts w:ascii="Calibri" w:hAnsi="Calibri" w:eastAsia="Calibri"/>
        </w:rPr>
        <w:t>Resmî başvuru iade/ret: düzeltme görevi açılır, program onaylı duruma geçemez.</w:t>
      </w:r>
    </w:p>
    <w:p>
      <w:pPr>
        <w:pStyle w:val="ListBullet"/>
      </w:pPr>
      <w:r>
        <w:rPr>
          <w:rFonts w:ascii="Calibri" w:hAnsi="Calibri" w:eastAsia="Calibri"/>
        </w:rPr>
        <w:t>Eğitim ertelendi/iptal: bildirim, maliyet ve yeni tarih akışı tetiklenir.</w:t>
      </w:r>
    </w:p>
    <w:p>
      <w:pPr>
        <w:pStyle w:val="ListBullet"/>
      </w:pPr>
      <w:r>
        <w:rPr>
          <w:rFonts w:ascii="Calibri" w:hAnsi="Calibri" w:eastAsia="Calibri"/>
        </w:rPr>
        <w:t>Sınav başarısız: sertifika üretilmez; yeniden sınav/eğitim kuralı uygulanır.</w:t>
      </w:r>
    </w:p>
    <w:p>
      <w:pPr>
        <w:pStyle w:val="ListBullet"/>
      </w:pPr>
      <w:r>
        <w:rPr>
          <w:rFonts w:ascii="Calibri" w:hAnsi="Calibri" w:eastAsia="Calibri"/>
        </w:rPr>
        <w:t>Personel işten ayrıldı: istihdam dönemi kapanır; geçmiş belge korunur, aktif görevlendirme sonlanır.</w:t>
      </w:r>
    </w:p>
    <w:p>
      <w:pPr>
        <w:pStyle w:val="ListBullet"/>
      </w:pPr>
      <w:r>
        <w:rPr>
          <w:rFonts w:ascii="Calibri" w:hAnsi="Calibri" w:eastAsia="Calibri"/>
        </w:rPr>
        <w:t>Yanlış sertifika: iptal/revizyon kaydı açılır; eski belge silinmez, geçersiz statüde arşivlenir.</w:t>
      </w:r>
    </w:p>
    <w:p>
      <w:pPr>
        <w:pStyle w:val="Heading1"/>
        <w:pageBreakBefore/>
        <w:keepNext/>
        <w:keepLines/>
      </w:pPr>
      <w:r>
        <w:t>7. Fonksiyonel Modüller ve Gereksinimler</w:t>
      </w:r>
    </w:p>
    <w:tbl>
      <w:tblPr>
        <w:tblStyle w:val="TableGrid"/>
        <w:tblW w:type="dxa" w:w="9360"/>
        <w:jc w:val="left"/>
        <w:tblLayout w:type="fixed"/>
        <w:tblLook w:firstColumn="1" w:firstRow="1" w:lastColumn="0" w:lastRow="0" w:noHBand="0" w:noVBand="1" w:val="04A0"/>
        <w:tblInd w:type="dxa" w:w="120"/>
      </w:tblPr>
      <w:tblGrid>
        <w:gridCol w:w="1008"/>
        <w:gridCol w:w="2016"/>
        <w:gridCol w:w="5472"/>
        <w:gridCol w:w="864"/>
      </w:tblGrid>
      <w:tr>
        <w:trPr>
          <w:tblHeader w:val="true"/>
          <w:cantSplit w:val="true"/>
        </w:trPr>
        <w:tc>
          <w:tcPr>
            <w:tcW w:type="dxa" w:w="100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ID</w:t>
            </w:r>
          </w:p>
        </w:tc>
        <w:tc>
          <w:tcPr>
            <w:tcW w:type="dxa" w:w="201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Modül</w:t>
            </w:r>
          </w:p>
        </w:tc>
        <w:tc>
          <w:tcPr>
            <w:tcW w:type="dxa" w:w="547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Kapsam</w:t>
            </w:r>
          </w:p>
        </w:tc>
        <w:tc>
          <w:tcPr>
            <w:tcW w:type="dxa" w:w="86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Faz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FR-ORG</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Firma ve Şube</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Tenant, firma, şube, yetkili, sözleşme, hizmet alanı, portal erişimi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FR-PER</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Kişi ve İstihdam</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TCKN, iletişim, görev, işe giriş/çıkış, SGK/çalışma kanıtı, transfer geçmişi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FR-RUL</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Kural Motoru</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Mevzuat sürümü, eğitim gereği, muafiyet, süre, ön şart, hard/soft block</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FR-TRN</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Eğitmen</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Yetkinlik, belge süresi, konu kapsamı, müsaitlik, çakışma, hakediş referansı</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FR-CAT</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Eğitim Kataloğu</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Hizmet/görev eşleştirmesi, müfredat konusu, saat, sürüm, kapsama, yenileme, sınav ve şablon</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FR-LOC</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Yer ve Kaynak</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Şehir, salon, firma içi/liman içi, kapasite, ekipman ve rezervasyon</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FR-CRS</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Program</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Takvim, katılımcı, eğitmen, maliyet, onay, statü ve istisna</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FR-ATT</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Devam</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Yoklama, oturum, saat, geç kalma, mazeret, mobil uyum</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FR-EXM</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Sınav</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Soru adedi, puan, başarı, yeniden sınav, pratik değerlendirme</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FR-CER</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Belge/Sertifika</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Numara, şablon, QR doğrulama, revizyon, iptal, dağıtım</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FR-EOP</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e-İşlem Merkezi</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e-Devlet/KEP/Bakanlık görevleri, kanıt, başvuru no, iade/ret, ikinci kontrol</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FR-NOT</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Bildirim</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E-posta, uygulama içi; SMS/WhatsApp entegrasyonu ve tercih yönetimi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FR-CRM</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CRM/Teklif</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Müşteri, ihtiyaç, teklif, geçerlilik, onay, sınıfa dönüşüm</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FR-FIN</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Finans Referansı</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Fatura no, durum, tahsilat, cari özet ve muhasebe entegrasyonu</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Faz 2</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FR-DOC</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Doküman</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Kanıt, sürüm, geçerlilik, saklama, erişim ve denetim paketi</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FR-REP</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Raporlama</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Uyum, eğitim, eğitmen, satış, finans, operasyon ve dışa aktarım</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sz w:val="16"/>
              </w:rPr>
              <w:t>FR-ADM</w:t>
            </w:r>
          </w:p>
        </w:tc>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Yönetim</w:t>
            </w:r>
          </w:p>
        </w:tc>
        <w:tc>
          <w:tcPr>
            <w:tcW w:type="dxa" w:w="54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Rol, yetki, kural, şablon, bildirim, saklama ve sistem ayarları</w:t>
            </w:r>
          </w:p>
        </w:tc>
        <w:tc>
          <w:tcPr>
            <w:tcW w:type="dxa" w:w="8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MVP</w:t>
            </w:r>
          </w:p>
        </w:tc>
      </w:tr>
    </w:tbl>
    <w:p>
      <w:pPr>
        <w:spacing w:after="40"/>
      </w:pPr>
    </w:p>
    <w:p>
      <w:pPr>
        <w:pStyle w:val="Heading2"/>
      </w:pPr>
      <w:r>
        <w:rPr>
          <w:rFonts w:ascii="Calibri" w:hAnsi="Calibri" w:eastAsia="Calibri"/>
          <w:i w:val="0"/>
        </w:rPr>
        <w:t>7.1 Kritik iş kuralları</w:t>
      </w:r>
    </w:p>
    <w:p>
      <w:pPr>
        <w:pStyle w:val="ListBullet"/>
      </w:pPr>
      <w:r>
        <w:rPr>
          <w:rFonts w:ascii="Calibri" w:hAnsi="Calibri" w:eastAsia="Calibri"/>
        </w:rPr>
        <w:t>Aynı eğitmen veya salon aynı zaman aralığında iki aktif programa atanamaz.</w:t>
      </w:r>
    </w:p>
    <w:p>
      <w:pPr>
        <w:pStyle w:val="ListBullet"/>
      </w:pPr>
      <w:r>
        <w:rPr>
          <w:rFonts w:ascii="Calibri" w:hAnsi="Calibri" w:eastAsia="Calibri"/>
        </w:rPr>
        <w:t>Deniz gözetim hizmet alanı seçildiğinde Ek-3’e ait zorunlu konu listesi ve 8/12/16 saatlik toplam süre programa otomatik yüklenir; eksik konu veya süreyle program yayımlanamaz.</w:t>
      </w:r>
    </w:p>
    <w:p>
      <w:pPr>
        <w:pStyle w:val="ListBullet"/>
      </w:pPr>
      <w:r>
        <w:rPr>
          <w:rFonts w:ascii="Calibri" w:hAnsi="Calibri" w:eastAsia="Calibri"/>
        </w:rPr>
        <w:t>IMDG görevi seçildiğinde on üç görev matrisindeki ilk/yenileme süresi, müfredat ve eğitici ön şartı uygulanır.</w:t>
      </w:r>
    </w:p>
    <w:p>
      <w:pPr>
        <w:pStyle w:val="ListBullet"/>
      </w:pPr>
      <w:r>
        <w:rPr>
          <w:rFonts w:ascii="Calibri" w:hAnsi="Calibri" w:eastAsia="Calibri"/>
        </w:rPr>
        <w:t>Yayımlanmış müfredat geriye dönük değiştirilmez; mevzuat değişikliğinde yeni yürürlük tarihli sürüm oluşturulur.</w:t>
      </w:r>
    </w:p>
    <w:p>
      <w:pPr>
        <w:pStyle w:val="ListBullet"/>
      </w:pPr>
      <w:r>
        <w:rPr>
          <w:rFonts w:ascii="Calibri" w:hAnsi="Calibri" w:eastAsia="Calibri"/>
        </w:rPr>
        <w:t>Görev 4→2+3, görev 9→7 ve görev 8→5+6 kapsama kuralları sertifika yetki alanlarına otomatik yansıtılır; mevzuatta tanımlanmayan eşdeğerlik sistem tarafından türetilmez.</w:t>
      </w:r>
    </w:p>
    <w:p>
      <w:pPr>
        <w:pStyle w:val="ListBullet"/>
      </w:pPr>
      <w:r>
        <w:rPr>
          <w:rFonts w:ascii="Calibri" w:hAnsi="Calibri" w:eastAsia="Calibri"/>
        </w:rPr>
        <w:t>Tehlikeli yük deniz gözetim seminerinde 25 katılımcı sınırı hard block olarak uygulanır.</w:t>
      </w:r>
    </w:p>
    <w:p>
      <w:pPr>
        <w:pStyle w:val="ListBullet"/>
      </w:pPr>
      <w:r>
        <w:rPr>
          <w:rFonts w:ascii="Calibri" w:hAnsi="Calibri" w:eastAsia="Calibri"/>
        </w:rPr>
        <w:t>Sınav başarı kuralı sağlanmadan belge üretilemez.</w:t>
      </w:r>
    </w:p>
    <w:p>
      <w:pPr>
        <w:pStyle w:val="ListBullet"/>
      </w:pPr>
      <w:r>
        <w:rPr>
          <w:rFonts w:ascii="Calibri" w:hAnsi="Calibri" w:eastAsia="Calibri"/>
        </w:rPr>
        <w:t>Resmî onay gerektiren program onay kanıtı olmadan “gerçekleşebilir” durumuna geçemez.</w:t>
      </w:r>
    </w:p>
    <w:p>
      <w:pPr>
        <w:pStyle w:val="ListBullet"/>
      </w:pPr>
      <w:r>
        <w:rPr>
          <w:rFonts w:ascii="Calibri" w:hAnsi="Calibri" w:eastAsia="Calibri"/>
        </w:rPr>
        <w:t>Personelin aktif istihdam/SGK kanıtı, görev ve eğitim durumu uygun değilse görevlendirme yapılamaz.</w:t>
      </w:r>
    </w:p>
    <w:p>
      <w:pPr>
        <w:pStyle w:val="ListBullet"/>
      </w:pPr>
      <w:r>
        <w:rPr>
          <w:rFonts w:ascii="Calibri" w:hAnsi="Calibri" w:eastAsia="Calibri"/>
        </w:rPr>
        <w:t>Muafiyet süresiz varsayılmaz; mevzuat ve kanıt türüne göre kural motoru karar verir.</w:t>
      </w:r>
    </w:p>
    <w:p>
      <w:pPr>
        <w:pStyle w:val="ListBullet"/>
      </w:pPr>
      <w:r>
        <w:rPr>
          <w:rFonts w:ascii="Calibri" w:hAnsi="Calibri" w:eastAsia="Calibri"/>
        </w:rPr>
        <w:t>Belge, sertifika, sınav sonucu ve resmî işlem kayıtları kalıcı silinmez; iptal/revizyon/anonimleştirme kontrollü süreçle yapılır.</w:t>
      </w:r>
    </w:p>
    <w:p>
      <w:pPr>
        <w:pStyle w:val="ListBullet"/>
      </w:pPr>
      <w:r>
        <w:rPr>
          <w:rFonts w:ascii="Calibri" w:hAnsi="Calibri" w:eastAsia="Calibri"/>
        </w:rPr>
        <w:t>Lokasyonlar sabit kod listesi değil, şehir ve tür bilgisiyle yönetilen ana veri olmalıdır.</w:t>
      </w:r>
    </w:p>
    <w:p>
      <w:pPr>
        <w:pStyle w:val="ListBullet"/>
      </w:pPr>
      <w:r>
        <w:rPr>
          <w:rFonts w:ascii="Calibri" w:hAnsi="Calibri" w:eastAsia="Calibri"/>
        </w:rPr>
        <w:t>Teklif, kabul edildiğinde onaylı kurallara göre program taslağına dönüşebilir; fiyat ve iskonto yetki limitiyle yönetilir.</w:t>
      </w:r>
    </w:p>
    <w:p>
      <w:pPr>
        <w:pStyle w:val="Heading1"/>
        <w:keepNext/>
        <w:keepLines/>
      </w:pPr>
      <w:r>
        <w:t>8. Veri Modeli ve Ana Kayıtlar</w:t>
      </w:r>
    </w:p>
    <w:tbl>
      <w:tblPr>
        <w:tblStyle w:val="TableGrid"/>
        <w:tblW w:type="dxa" w:w="9360"/>
        <w:jc w:val="left"/>
        <w:tblLayout w:type="fixed"/>
        <w:tblLook w:firstColumn="1" w:firstRow="1" w:lastColumn="0" w:lastRow="0" w:noHBand="0" w:noVBand="1" w:val="04A0"/>
        <w:tblInd w:type="dxa" w:w="120"/>
      </w:tblPr>
      <w:tblGrid>
        <w:gridCol w:w="2232"/>
        <w:gridCol w:w="2736"/>
        <w:gridCol w:w="4392"/>
      </w:tblGrid>
      <w:tr>
        <w:trPr>
          <w:tblHeader w:val="true"/>
          <w:cantSplit w:val="true"/>
        </w:trPr>
        <w:tc>
          <w:tcPr>
            <w:tcW w:type="dxa" w:w="223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Varlık</w:t>
            </w:r>
          </w:p>
        </w:tc>
        <w:tc>
          <w:tcPr>
            <w:tcW w:type="dxa" w:w="273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Amaç</w:t>
            </w:r>
          </w:p>
        </w:tc>
        <w:tc>
          <w:tcPr>
            <w:tcW w:type="dxa" w:w="439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Asgari alanlar</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Tenant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SaaS müşteri alanı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tenant_id, ad, durum, paket, veri bölgesi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Organization/Branch</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Firma ve şube</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ünvan, VKN, adres, yetki/hizmet alanı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Person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Gerçek kişi ana kaydı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şifreli TCKN, ad, iletişim, kimlik kanıtı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Employment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Firma-personel ilişkisi</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firma, şube, başlangıç, bitiş, SGK kanıtı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RoleAssignment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Görev ve hizmet alanı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rol, alan, başlangıç, bitiş, onay</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TrainingRuleVersion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Mevzuat kuralı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kaynak, madde, yürürlük, süre, ön şart</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CourseDefinition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Sürümlü eğitim tanımı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iç kod, resmi ad, hizmet/görev, ilk/yenileme, toplam süre</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CurriculumTopic</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Müfredat konu satırı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sıra, konu, kaynak ek/satır, süre veya süre payı, zorunluluk</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TrainingInclusionRule</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Kapsama/eşdeğerlik</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üst eğitim, kapsanan eğitim, koşul, yürürlük, sertifika gösterimi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Qualification/Exemption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Diploma/yeterlilik/muafiyet</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tür, kapsam, belge, onay</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TrainerCredential</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Eğitmen yetkisi</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konu, belge, başlangıç/bitiş, doğrulama</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CourseEvent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Eğitim programı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eğitim, yer, tarih, eğitmen, kapasite, durum</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Enrollment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Katılımcı-program</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tür, uygunluk, durum, firma, ücret</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AttendanceSession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Devam kaydı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oturum, saat, giriş/çıkış, kanıt</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ExamAttempt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Sınav denemesi</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soru, puan, sonuç, değerlendirici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Certificate</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Belge yaşam döngüsü</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numara, sürüm, başlangıç/bitiş, iptal</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OfficialTransaction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e-İşlem</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kanal, sorumlu, son tarih, başvuru no, kanıt</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DocumentEvidence</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Dosya/kanıt</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tür, sürüm, erişim, saklama, hash</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Offer/Contract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Ticari kayıt</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fiyat, iskonto, geçerlilik, onay, sözleşme</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InvoiceReference</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Finans referansı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fatura no, tutar, durum, entegrasyon</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Notification</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Mesaj kaydı</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kanal, alıcı, şablon, gönderim/teslim</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6"/>
              </w:rPr>
              <w:t>AuditEvent</w:t>
            </w:r>
          </w:p>
        </w:tc>
        <w:tc>
          <w:tcPr>
            <w:tcW w:type="dxa" w:w="27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Denetim izi</w:t>
            </w:r>
          </w:p>
        </w:tc>
        <w:tc>
          <w:tcPr>
            <w:tcW w:type="dxa" w:w="43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kullanıcı, işlem, önce/sonra, zaman, kaynak IP</w:t>
            </w:r>
          </w:p>
        </w:tc>
      </w:tr>
    </w:tbl>
    <w:p>
      <w:pPr>
        <w:spacing w:after="40"/>
      </w:pPr>
    </w:p>
    <w:p>
      <w:r>
        <w:rPr>
          <w:rFonts w:ascii="Calibri" w:hAnsi="Calibri" w:eastAsia="Calibri"/>
          <w:i w:val="0"/>
        </w:rPr>
        <w:t>Kimlik ve mükerrerlik yaklaşımı:</w:t>
      </w:r>
    </w:p>
    <w:p>
      <w:pPr>
        <w:pStyle w:val="ListBullet"/>
      </w:pPr>
      <w:r>
        <w:rPr>
          <w:rFonts w:ascii="Calibri" w:hAnsi="Calibri" w:eastAsia="Calibri"/>
        </w:rPr>
        <w:t>T.C. kimlik numarası şifreli saklanır; mükerrer kontrol için geri döndürülemeyen HMAC/arama anahtarı kullanılabilir.</w:t>
      </w:r>
    </w:p>
    <w:p>
      <w:pPr>
        <w:pStyle w:val="ListBullet"/>
      </w:pPr>
      <w:r>
        <w:rPr>
          <w:rFonts w:ascii="Calibri" w:hAnsi="Calibri" w:eastAsia="Calibri"/>
        </w:rPr>
        <w:t>Bir kişinin birden fazla firma veya dönemle ilişkisi Person kaydında çoğaltılmaz; Employment geçmişiyle yönetilir.</w:t>
      </w:r>
    </w:p>
    <w:p>
      <w:pPr>
        <w:pStyle w:val="ListBullet"/>
      </w:pPr>
      <w:r>
        <w:rPr>
          <w:rFonts w:ascii="Calibri" w:hAnsi="Calibri" w:eastAsia="Calibri"/>
        </w:rPr>
        <w:t>Müşteri firma kullanıcıları başka tenantlara ait ilişki ve kayıtları göremez.</w:t>
      </w:r>
    </w:p>
    <w:p>
      <w:pPr>
        <w:pStyle w:val="ListBullet"/>
      </w:pPr>
      <w:r>
        <w:rPr>
          <w:rFonts w:ascii="Calibri" w:hAnsi="Calibri" w:eastAsia="Calibri"/>
        </w:rPr>
        <w:t>ST Gözetim altında geçici SGK/istihdam ve sonrasında kendi firmaya dönüş gibi süreçler başlangıç-bitiş tarihli istihdam dönemleriyle izlenir.</w:t>
      </w:r>
    </w:p>
    <w:p>
      <w:pPr>
        <w:pStyle w:val="ListBullet"/>
      </w:pPr>
      <w:r>
        <w:rPr>
          <w:rFonts w:ascii="Calibri" w:hAnsi="Calibri" w:eastAsia="Calibri"/>
        </w:rPr>
        <w:t>Veri sahipliği, veri sorumlusu/veri işleyen sözleşmeleri ve portal yetkileri tenant bazında tanımlanır.</w:t>
      </w:r>
    </w:p>
    <w:p>
      <w:pPr>
        <w:pStyle w:val="Heading1"/>
        <w:keepNext/>
        <w:keepLines/>
      </w:pPr>
      <w:r>
        <w:t>9. Kullanıcı Rolleri ve Yetkilendirme</w:t>
      </w:r>
    </w:p>
    <w:tbl>
      <w:tblPr>
        <w:tblStyle w:val="TableGrid"/>
        <w:tblW w:type="dxa" w:w="9360"/>
        <w:jc w:val="left"/>
        <w:tblLayout w:type="fixed"/>
        <w:tblLook w:firstColumn="1" w:firstRow="1" w:lastColumn="0" w:lastRow="0" w:noHBand="0" w:noVBand="1" w:val="04A0"/>
        <w:tblInd w:type="dxa" w:w="120"/>
      </w:tblPr>
      <w:tblGrid>
        <w:gridCol w:w="2376"/>
        <w:gridCol w:w="3672"/>
        <w:gridCol w:w="3312"/>
      </w:tblGrid>
      <w:tr>
        <w:trPr>
          <w:tblHeader w:val="true"/>
          <w:cantSplit w:val="true"/>
        </w:trPr>
        <w:tc>
          <w:tcPr>
            <w:tcW w:type="dxa" w:w="237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Rol</w:t>
            </w:r>
          </w:p>
        </w:tc>
        <w:tc>
          <w:tcPr>
            <w:tcW w:type="dxa" w:w="367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Erişim</w:t>
            </w:r>
          </w:p>
        </w:tc>
        <w:tc>
          <w:tcPr>
            <w:tcW w:type="dxa" w:w="331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Kısıt</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Platform Süper Yöneticisi</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Tenant açma, sistem ayarı</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İçerik/kişisel veri erişimi varsayılan olarak kapalı</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Ürün/Mevzuat Yöneticisi</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Kural ve katalog yayınlama</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Çift onay ve sürümleme</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3E Operasyon Yöneticisi</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Program, eğitmen, katılımcı, e-işlem</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Finans ve kişisel veri ihtiyaca göre</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Satış Kullanıcısı</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CRM, teklif, müşteri ve yenileme fırsatı</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Sınav/TCKN tam görünüm yok</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Finans Kullanıcısı</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Teklif, fatura ve tahsilat</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Eğitim sağlık/kimlik kanıtı yok</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Eğitmen</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Kendi programı, yoklama, sonuç</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Finans ve gereksiz kişisel veri yok</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Firma Yöneticisi</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Kendi firma/personel durumu</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Başka firma verisi yok</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Firma Operatörü</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Personel yükleme, talep ve belge</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Onay/yetki sınırlı</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Katılımcı</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Kendi eğitim ve belge kaydı</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Diğer kişiler yok</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Denetçi</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Seçili kanıt dosyası, salt okunur</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Süreli erişim</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Destek Kullanıcısı</w:t>
            </w:r>
          </w:p>
        </w:tc>
        <w:tc>
          <w:tcPr>
            <w:tcW w:type="dxa" w:w="367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Teknik destek</w:t>
            </w:r>
          </w:p>
        </w:tc>
        <w:tc>
          <w:tcPr>
            <w:tcW w:type="dxa" w:w="33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Maskeli veri ve kayıtlı yetki yükseltme</w:t>
            </w:r>
          </w:p>
        </w:tc>
      </w:tr>
    </w:tbl>
    <w:p>
      <w:pPr>
        <w:spacing w:after="40"/>
      </w:pPr>
    </w:p>
    <w:p>
      <w:pPr>
        <w:spacing w:before="100" w:after="180" w:line="264" w:lineRule="auto"/>
        <w:ind w:left="115" w:right="115"/>
        <w:shd w:fill="F4F6F9"/>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Yetki İlkesi: </w:t>
      </w:r>
      <w:r>
        <w:rPr>
          <w:rFonts w:ascii="Calibri" w:hAnsi="Calibri" w:eastAsia="Calibri"/>
        </w:rPr>
        <w:t>Hiçbir kullanıcı “sistemin tek hâkimi” değildir. En az yetki, görevlerin ayrılığı, süreli yetki yükseltme, çift kontrol ve denetim izi uygulanır. Kritik kayıtlar kalıcı olarak silinemez.</w:t>
      </w:r>
    </w:p>
    <w:p>
      <w:pPr>
        <w:pStyle w:val="Heading1"/>
        <w:pageBreakBefore/>
        <w:keepNext/>
        <w:keepLines/>
      </w:pPr>
      <w:r>
        <w:t>10. e-İşlem Merkezi ve Entegrasyonlar</w:t>
      </w:r>
    </w:p>
    <w:p>
      <w:r>
        <w:rPr>
          <w:rFonts w:ascii="Calibri" w:hAnsi="Calibri" w:eastAsia="Calibri"/>
          <w:i w:val="0"/>
        </w:rPr>
        <w:t>e-İşlem Merkezi; kullanıcıyı resmî kanala yönlendiren, hazırlık dosyasını kontrol eden, sorumlu ve son tarihi yöneten ve tamamlanan işlemin kanıtını saklayan görev motorudur.</w:t>
      </w:r>
    </w:p>
    <w:tbl>
      <w:tblPr>
        <w:tblStyle w:val="TableGrid"/>
        <w:tblW w:type="dxa" w:w="9360"/>
        <w:jc w:val="left"/>
        <w:tblLayout w:type="fixed"/>
        <w:tblLook w:firstColumn="1" w:firstRow="1" w:lastColumn="0" w:lastRow="0" w:noHBand="0" w:noVBand="1" w:val="04A0"/>
        <w:tblInd w:type="dxa" w:w="120"/>
      </w:tblPr>
      <w:tblGrid>
        <w:gridCol w:w="2232"/>
        <w:gridCol w:w="7128"/>
      </w:tblGrid>
      <w:tr>
        <w:trPr>
          <w:tblHeader w:val="true"/>
          <w:cantSplit w:val="true"/>
        </w:trPr>
        <w:tc>
          <w:tcPr>
            <w:tcW w:type="dxa" w:w="223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Kayıt</w:t>
            </w:r>
          </w:p>
        </w:tc>
        <w:tc>
          <w:tcPr>
            <w:tcW w:type="dxa" w:w="712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Gereksinim</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İşlem türü</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e-Devlet, KEP, Bakanlık uygulaması, e-tahsilat, belge doğrulama</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Bağlam</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İlgili firma, kişi, eğitim, belge veya yetki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Sorumlu ve kontrol</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İşlemi yapan, ikinci kontrol eden, onaylayan</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Zaman</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Açılış, son tarih, gönderim, yanıt ve kapanış</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Kanıt</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Başvuru no, ödeme no, KEP alındısı, ekran çıktısı, onay/ret yazısı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Durum</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Taslak, hazır, gönderildi, bekliyor, iade, ret, düzeltme, tamamlandı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Bağlantı</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Resmî sistem URL’si veya doğrulama bağlantısı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Değişiklik geçmişi</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Önceki/sonraki değer, kullanıcı ve zaman damgası</w:t>
            </w:r>
          </w:p>
        </w:tc>
      </w:tr>
    </w:tbl>
    <w:p>
      <w:pPr>
        <w:spacing w:after="40"/>
      </w:pPr>
    </w:p>
    <w:p>
      <w:r>
        <w:rPr>
          <w:rFonts w:ascii="Calibri" w:hAnsi="Calibri" w:eastAsia="Calibri"/>
          <w:i w:val="0"/>
        </w:rPr>
        <w:t>Entegrasyon prensipleri:</w:t>
      </w:r>
    </w:p>
    <w:p>
      <w:pPr>
        <w:pStyle w:val="ListBullet"/>
      </w:pPr>
      <w:r>
        <w:rPr>
          <w:rFonts w:ascii="Calibri" w:hAnsi="Calibri" w:eastAsia="Calibri"/>
        </w:rPr>
        <w:t>e-Devlet ve KEP şifreleri platformda tutulmaz.</w:t>
      </w:r>
    </w:p>
    <w:p>
      <w:pPr>
        <w:pStyle w:val="ListBullet"/>
      </w:pPr>
      <w:r>
        <w:rPr>
          <w:rFonts w:ascii="Calibri" w:hAnsi="Calibri" w:eastAsia="Calibri"/>
        </w:rPr>
        <w:t>Resmî API ve yetkilendirme mevcutsa belgeli entegrasyon geliştirilir; aksi halde kullanıcı yönlendirme ve kanıt yükleme kullanılır.</w:t>
      </w:r>
    </w:p>
    <w:p>
      <w:pPr>
        <w:pStyle w:val="ListBullet"/>
      </w:pPr>
      <w:r>
        <w:rPr>
          <w:rFonts w:ascii="Calibri" w:hAnsi="Calibri" w:eastAsia="Calibri"/>
        </w:rPr>
        <w:t>API olmayan kanallar için dışa aktarım şablonları sürümlenir ve test edilir.</w:t>
      </w:r>
    </w:p>
    <w:p>
      <w:pPr>
        <w:pStyle w:val="ListBullet"/>
      </w:pPr>
      <w:r>
        <w:rPr>
          <w:rFonts w:ascii="Calibri" w:hAnsi="Calibri" w:eastAsia="Calibri"/>
        </w:rPr>
        <w:t>Muhasebe, e-fatura, SMS ve WhatsApp servisleri adaptör yapısıyla bağlanır; sağlayıcı bağımlılığı azaltılır.</w:t>
      </w:r>
    </w:p>
    <w:p>
      <w:pPr>
        <w:pStyle w:val="ListBullet"/>
      </w:pPr>
      <w:r>
        <w:rPr>
          <w:rFonts w:ascii="Calibri" w:hAnsi="Calibri" w:eastAsia="Calibri"/>
        </w:rPr>
        <w:t>Tüm entegrasyon işlemlerinde idempotency, yeniden deneme, hata kuyruğu ve korelasyon numarası bulunur.</w:t>
      </w:r>
    </w:p>
    <w:p>
      <w:pPr>
        <w:pStyle w:val="TableCitation"/>
      </w:pPr>
      <w:r>
        <w:rPr>
          <w:rFonts w:ascii="Calibri" w:hAnsi="Calibri" w:eastAsia="Calibri"/>
          <w:i/>
          <w:color w:val="667085"/>
          <w:sz w:val="18"/>
        </w:rPr>
        <w:t>UAB; Deniz Ticareti Gözetim Hizmetleri Uygulaması ile e-Devlet sorgulama/doğrulama hizmetlerini resmî çevrim içi kanallar olarak yayımlamaktadır.</w:t>
      </w:r>
      <w:r>
        <w:t xml:space="preserve"> </w:t>
      </w:r>
      <w:hyperlink r:id="rId15">
        <w:r>
          <w:rPr>
            <w:color w:val="2E74B5"/>
            <w:u w:val="single"/>
            <w:rFonts w:ascii="Calibri" w:hAnsi="Calibri"/>
          </w:rPr>
          <w:t>Resmî kaynak</w:t>
        </w:r>
      </w:hyperlink>
    </w:p>
    <w:p>
      <w:pPr>
        <w:pStyle w:val="Heading1"/>
        <w:keepNext/>
        <w:keepLines/>
      </w:pPr>
      <w:r>
        <w:t>11. Bildirim, Yenileme ve Satış Otomasyonu</w:t>
      </w:r>
    </w:p>
    <w:p>
      <w:r>
        <w:rPr>
          <w:rFonts w:ascii="Calibri" w:hAnsi="Calibri" w:eastAsia="Calibri"/>
          <w:i w:val="0"/>
        </w:rPr>
        <w:t>PRD v2’deki “tam 45 gün kala çalışan cron” kuralı tek gün kaçırıldığında fırsatı kaybedebilir. Sistem günlük değerlendirme yapmalı ancak bildirimleri kademeli ve yapılandırılabilir üretmelidir.</w:t>
      </w:r>
    </w:p>
    <w:tbl>
      <w:tblPr>
        <w:tblStyle w:val="TableGrid"/>
        <w:tblW w:type="dxa" w:w="9360"/>
        <w:jc w:val="left"/>
        <w:tblLayout w:type="fixed"/>
        <w:tblLook w:firstColumn="1" w:firstRow="1" w:lastColumn="0" w:lastRow="0" w:noHBand="0" w:noVBand="1" w:val="04A0"/>
        <w:tblInd w:type="dxa" w:w="120"/>
      </w:tblPr>
      <w:tblGrid>
        <w:gridCol w:w="2016"/>
        <w:gridCol w:w="7344"/>
      </w:tblGrid>
      <w:tr>
        <w:trPr>
          <w:tblHeader w:val="true"/>
          <w:cantSplit w:val="true"/>
        </w:trPr>
        <w:tc>
          <w:tcPr>
            <w:tcW w:type="dxa" w:w="201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Zaman</w:t>
            </w:r>
          </w:p>
        </w:tc>
        <w:tc>
          <w:tcPr>
            <w:tcW w:type="dxa" w:w="734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Aksiyon</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90 gün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Erken yenileme listesi; bütçe ve dönem planlama</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60 gün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Firma yetkilisi ve operasyon bilgilendirmesi</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45 gün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Satış fırsatı ve teklif taslağı</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30 gün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Yönetici eskalasyonu ve sınıf önerisi</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15 gün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Kritik uyarı; resmî bildirim süresiyle birlikte değerlendirme</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7 gün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Son uyarı ve görevlendirme riski</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Süre doldu</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Uygunluk statüsü pasif; görev hard block</w:t>
            </w:r>
          </w:p>
        </w:tc>
      </w:tr>
    </w:tbl>
    <w:p>
      <w:pPr>
        <w:spacing w:after="40"/>
      </w:pPr>
    </w:p>
    <w:p>
      <w:pPr>
        <w:pStyle w:val="ListBullet"/>
      </w:pPr>
      <w:r>
        <w:rPr>
          <w:rFonts w:ascii="Calibri" w:hAnsi="Calibri" w:eastAsia="Calibri"/>
        </w:rPr>
        <w:t>Bildirim periyodu eğitim/sertifika/eğitmen yetkisi/işletme belgesi bazında ayrı tanımlanır.</w:t>
      </w:r>
    </w:p>
    <w:p>
      <w:pPr>
        <w:pStyle w:val="ListBullet"/>
      </w:pPr>
      <w:r>
        <w:rPr>
          <w:rFonts w:ascii="Calibri" w:hAnsi="Calibri" w:eastAsia="Calibri"/>
        </w:rPr>
        <w:t>Aynı olay için gereksiz tekrar önlenir; kullanıcı onayı, erteleme ve eskalasyon geçmişi saklanır.</w:t>
      </w:r>
    </w:p>
    <w:p>
      <w:pPr>
        <w:pStyle w:val="ListBullet"/>
      </w:pPr>
      <w:r>
        <w:rPr>
          <w:rFonts w:ascii="Calibri" w:hAnsi="Calibri" w:eastAsia="Calibri"/>
        </w:rPr>
        <w:t>Teklif taslağı otomatik oluşabilir; fiyat, iskonto ve gönderim insan onayına tabidir.</w:t>
      </w:r>
    </w:p>
    <w:p>
      <w:pPr>
        <w:pStyle w:val="ListBullet"/>
      </w:pPr>
      <w:r>
        <w:rPr>
          <w:rFonts w:ascii="Calibri" w:hAnsi="Calibri" w:eastAsia="Calibri"/>
        </w:rPr>
        <w:t>E-posta ve uygulama içi bildirim MVP’dedir; SMS/WhatsApp açık tercih ve sözleşme koşullarıyla eklenir.</w:t>
      </w:r>
    </w:p>
    <w:p>
      <w:pPr>
        <w:pStyle w:val="ListBullet"/>
      </w:pPr>
      <w:r>
        <w:rPr>
          <w:rFonts w:ascii="Calibri" w:hAnsi="Calibri" w:eastAsia="Calibri"/>
        </w:rPr>
        <w:t>Teslim edilemeyen mesajlar hata kuyruğuna alınır ve alternatif sorumluya yükseltilir.</w:t>
      </w:r>
    </w:p>
    <w:p>
      <w:pPr>
        <w:pStyle w:val="Heading1"/>
        <w:keepNext/>
        <w:keepLines/>
      </w:pPr>
      <w:r>
        <w:t>12. UI/UX ve Ekran Envanteri</w:t>
      </w:r>
    </w:p>
    <w:p>
      <w:r>
        <w:rPr>
          <w:rFonts w:ascii="Calibri" w:hAnsi="Calibri" w:eastAsia="Calibri"/>
          <w:i w:val="0"/>
        </w:rPr>
        <w:t>Arayüz “Kurumsal Light” yaklaşımında, masaüstü öncelikli ve tablet/mobil uyumlu olmalıdır. Karanlık mod MVP kapsamında değildir. Tasarım; yoğun operasyon verisini renk körlüğü ve erişilebilirlik ilkelerine uygun, durum odaklı göstermelidir.</w:t>
      </w:r>
    </w:p>
    <w:tbl>
      <w:tblPr>
        <w:tblStyle w:val="TableGrid"/>
        <w:tblW w:type="dxa" w:w="9360"/>
        <w:jc w:val="left"/>
        <w:tblLayout w:type="fixed"/>
        <w:tblLook w:firstColumn="1" w:firstRow="1" w:lastColumn="0" w:lastRow="0" w:noHBand="0" w:noVBand="1" w:val="04A0"/>
        <w:tblInd w:type="dxa" w:w="120"/>
      </w:tblPr>
      <w:tblGrid>
        <w:gridCol w:w="648"/>
        <w:gridCol w:w="2520"/>
        <w:gridCol w:w="6192"/>
      </w:tblGrid>
      <w:tr>
        <w:trPr>
          <w:tblHeader w:val="true"/>
          <w:cantSplit w:val="true"/>
        </w:trPr>
        <w:tc>
          <w:tcPr>
            <w:tcW w:type="dxa" w:w="64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No</w:t>
            </w:r>
          </w:p>
        </w:tc>
        <w:tc>
          <w:tcPr>
            <w:tcW w:type="dxa" w:w="252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Ekran</w:t>
            </w:r>
          </w:p>
        </w:tc>
        <w:tc>
          <w:tcPr>
            <w:tcW w:type="dxa" w:w="619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Amaç</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Giriş/MFA</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Kimlik doğrulama, şifre yenileme, güvenli oturum</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2</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Yönetici Dashboard</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Yenileme, uygunluk, program, teklif ve risk KPI’ları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3</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Firma ve Şubeler</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Tenant/firma/şube, yetkili, sözleşme ve hizmet alanı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4</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Personel ve İstihdam</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Kişi, SGK, görev, dönem, belge ve transfer geçmişi</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5</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Yetkinlik Matrisi</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Görev-alan-eğitim-belge-muafiyet durumu</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6</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Eğitim Kataloğu</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Süre, yenileme, sınav, şablon ve kural sürümü</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7</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Eğitmen</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Yetki, müsaitlik, program ve belge süresi</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8</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Takvim</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Şehir, eğitmen, salon, program ve çakışma görünümü</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9</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Program Detayı</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Katılımcı, uygunluk, resmi işlem, maliyet ve dosya</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10</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Devam ve Sınav</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Oturum, yoklama, soru, puan, pratik değerlendirme</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11</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Belge/Sertifika</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Üretim, QR, dağıtım, revizyon, iptal ve doğrulama</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12</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e-İşlem Merkezi</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Görev, son tarih, kanıt, iade/ret ve kapanış</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13</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CRM/Teklif</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İhtiyaç, fiyat, onay, gönderim ve sınıfa dönüşüm</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14</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Raporlar</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Uyum, eğitim, satış, finans ve dışa aktarım</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15</w:t>
            </w:r>
          </w:p>
        </w:tc>
        <w:tc>
          <w:tcPr>
            <w:tcW w:type="dxa" w:w="25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Yönetim</w:t>
            </w:r>
          </w:p>
        </w:tc>
        <w:tc>
          <w:tcPr>
            <w:tcW w:type="dxa" w:w="61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Rol, kural, şablon, saklama ve entegrasyon</w:t>
            </w:r>
          </w:p>
        </w:tc>
      </w:tr>
    </w:tbl>
    <w:p>
      <w:pPr>
        <w:spacing w:after="40"/>
      </w:pPr>
    </w:p>
    <w:p>
      <w:r>
        <w:rPr>
          <w:rFonts w:ascii="Calibri" w:hAnsi="Calibri" w:eastAsia="Calibri"/>
          <w:i w:val="0"/>
        </w:rPr>
        <w:t>UX kabul ilkeleri:</w:t>
      </w:r>
    </w:p>
    <w:p>
      <w:pPr>
        <w:pStyle w:val="ListBullet"/>
      </w:pPr>
      <w:r>
        <w:rPr>
          <w:rFonts w:ascii="Calibri" w:hAnsi="Calibri" w:eastAsia="Calibri"/>
        </w:rPr>
        <w:t>Kritik durum yalnızca renkle değil ikon/metinle de gösterilir.</w:t>
      </w:r>
    </w:p>
    <w:p>
      <w:pPr>
        <w:pStyle w:val="ListBullet"/>
      </w:pPr>
      <w:r>
        <w:rPr>
          <w:rFonts w:ascii="Calibri" w:hAnsi="Calibri" w:eastAsia="Calibri"/>
        </w:rPr>
        <w:t>Her ekranda aktif tenant/firma bağlamı görünür.</w:t>
      </w:r>
    </w:p>
    <w:p>
      <w:pPr>
        <w:pStyle w:val="ListBullet"/>
      </w:pPr>
      <w:r>
        <w:rPr>
          <w:rFonts w:ascii="Calibri" w:hAnsi="Calibri" w:eastAsia="Calibri"/>
        </w:rPr>
        <w:t>Kullanıcı, neden engellendiğini ve düzeltmek için gereken kanıtı görebilir.</w:t>
      </w:r>
    </w:p>
    <w:p>
      <w:pPr>
        <w:pStyle w:val="ListBullet"/>
      </w:pPr>
      <w:r>
        <w:rPr>
          <w:rFonts w:ascii="Calibri" w:hAnsi="Calibri" w:eastAsia="Calibri"/>
        </w:rPr>
        <w:t>Toplu işlemler ön izleme ve hata raporu olmadan çalışmaz.</w:t>
      </w:r>
    </w:p>
    <w:p>
      <w:pPr>
        <w:pStyle w:val="ListBullet"/>
      </w:pPr>
      <w:r>
        <w:rPr>
          <w:rFonts w:ascii="Calibri" w:hAnsi="Calibri" w:eastAsia="Calibri"/>
        </w:rPr>
        <w:t>Silme, iptal, onay ve fiyat değişikliği işlemlerinde gerekçe istenir.</w:t>
      </w:r>
    </w:p>
    <w:p>
      <w:pPr>
        <w:pStyle w:val="ListBullet"/>
      </w:pPr>
      <w:r>
        <w:rPr>
          <w:rFonts w:ascii="Calibri" w:hAnsi="Calibri" w:eastAsia="Calibri"/>
        </w:rPr>
        <w:t>Tarih, saat dilimi ve resmî işlem zamanı Europe/Istanbul olarak tutarlı gösterilir.</w:t>
      </w:r>
    </w:p>
    <w:p>
      <w:pPr>
        <w:pStyle w:val="Heading1"/>
        <w:keepNext/>
        <w:keepLines/>
      </w:pPr>
      <w:r>
        <w:t>13. Güvenlik, KVKK ve Kayıt Saklama</w:t>
      </w:r>
    </w:p>
    <w:tbl>
      <w:tblPr>
        <w:tblStyle w:val="TableGrid"/>
        <w:tblW w:type="dxa" w:w="9360"/>
        <w:jc w:val="left"/>
        <w:tblLayout w:type="fixed"/>
        <w:tblLook w:firstColumn="1" w:firstRow="1" w:lastColumn="0" w:lastRow="0" w:noHBand="0" w:noVBand="1" w:val="04A0"/>
        <w:tblInd w:type="dxa" w:w="120"/>
      </w:tblPr>
      <w:tblGrid>
        <w:gridCol w:w="2448"/>
        <w:gridCol w:w="6912"/>
      </w:tblGrid>
      <w:tr>
        <w:trPr>
          <w:tblHeader w:val="true"/>
          <w:cantSplit w:val="true"/>
        </w:trPr>
        <w:tc>
          <w:tcPr>
            <w:tcW w:type="dxa" w:w="244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Kontrol Alanı</w:t>
            </w:r>
          </w:p>
        </w:tc>
        <w:tc>
          <w:tcPr>
            <w:tcW w:type="dxa" w:w="691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Asgari Gereksinim</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Kimlik doğrulama</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MFA, güçlü parola, SSO hazırlığı, oturum ve cihaz yönetimi</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Yetkilendirme</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Tenant izolasyonu, RBAC/ABAC, en az yetki, süreli destek erişimi</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Şifreleme</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TLS 1.2+ aktarım; yönetilen anahtarlarla veri ve dosya şifreleme</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TCKN arama</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Şifreli asıl değer + HMAC/indeks anahtarı; loglarda maskeleme</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Denetim izi</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Ekleme/değiştirme/görüntüleme/indirme/onay/iptal kayıtları</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Silme ve imha</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Saklama planı, hukuki bekletme, anonimleştirme ve periyodik imha</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Dosya güvenliği</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Virüs tarama, izin kontrolü, hash, sürüm ve indirme kaydı</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Yedekleme</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PITR/işlem günlüğü, şifreli yedek, geri dönüş testi, ayrı hesap/bölge</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Olay yönetimi</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Alarm, müdahale planı, ihlal değerlendirme ve bildirim süreci</w:t>
            </w:r>
          </w:p>
        </w:tc>
      </w:tr>
      <w:tr>
        <w:trPr>
          <w:cantSplit w:val="true"/>
        </w:trPr>
        <w:tc>
          <w:tcPr>
            <w:tcW w:type="dxa" w:w="24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Tedarikçi yönetimi</w:t>
            </w:r>
          </w:p>
        </w:tc>
        <w:tc>
          <w:tcPr>
            <w:tcW w:type="dxa" w:w="69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Veri işleyen sözleşmesi, alt işleyen, lokasyon ve çıkış planı</w:t>
            </w:r>
          </w:p>
        </w:tc>
      </w:tr>
    </w:tbl>
    <w:p>
      <w:pPr>
        <w:spacing w:after="40"/>
      </w:pPr>
    </w:p>
    <w:p>
      <w:r>
        <w:rPr>
          <w:rFonts w:ascii="Calibri" w:hAnsi="Calibri" w:eastAsia="Calibri"/>
          <w:i w:val="0"/>
        </w:rPr>
        <w:t>KVKK tasarım kararları:</w:t>
      </w:r>
    </w:p>
    <w:p>
      <w:pPr>
        <w:pStyle w:val="ListBullet"/>
      </w:pPr>
      <w:r>
        <w:rPr>
          <w:rFonts w:ascii="Calibri" w:hAnsi="Calibri" w:eastAsia="Calibri"/>
        </w:rPr>
        <w:t>Her veri kategorisi için amaç, hukuki sebep, erişim rolü ve saklama süresi belirlenir.</w:t>
      </w:r>
    </w:p>
    <w:p>
      <w:pPr>
        <w:pStyle w:val="ListBullet"/>
      </w:pPr>
      <w:r>
        <w:rPr>
          <w:rFonts w:ascii="Calibri" w:hAnsi="Calibri" w:eastAsia="Calibri"/>
        </w:rPr>
        <w:t>Açık rıza her işlem için varsayılan hukuki sebep kabul edilmez; hukuk değerlendirmesi yapılır.</w:t>
      </w:r>
    </w:p>
    <w:p>
      <w:pPr>
        <w:pStyle w:val="ListBullet"/>
      </w:pPr>
      <w:r>
        <w:rPr>
          <w:rFonts w:ascii="Calibri" w:hAnsi="Calibri" w:eastAsia="Calibri"/>
        </w:rPr>
        <w:t>Kullanıcı aydınlatma, veri talebi, düzeltme, silme/anonimleştirme ve itiraz süreçleri kayıt altına alınır.</w:t>
      </w:r>
    </w:p>
    <w:p>
      <w:pPr>
        <w:pStyle w:val="ListBullet"/>
      </w:pPr>
      <w:r>
        <w:rPr>
          <w:rFonts w:ascii="Calibri" w:hAnsi="Calibri" w:eastAsia="Calibri"/>
        </w:rPr>
        <w:t>Yurt dışı bulut veya destek hizmeti kullanımı, KVKK yurt dışına aktarım hükümleri ve uygun güvence mekanizmaları kapsamında değerlendirilir.</w:t>
      </w:r>
    </w:p>
    <w:p>
      <w:pPr>
        <w:pStyle w:val="ListBullet"/>
      </w:pPr>
      <w:r>
        <w:rPr>
          <w:rFonts w:ascii="Calibri" w:hAnsi="Calibri" w:eastAsia="Calibri"/>
        </w:rPr>
        <w:t>Biyometrik doğrulama MVP’de yoktur; fotoğraf yalnızca zorunlu belge amacıyla ve sınırlı erişimle tutulur.</w:t>
      </w:r>
    </w:p>
    <w:p>
      <w:pPr>
        <w:pStyle w:val="ListBullet"/>
      </w:pPr>
      <w:r>
        <w:rPr>
          <w:rFonts w:ascii="Calibri" w:hAnsi="Calibri" w:eastAsia="Calibri"/>
        </w:rPr>
        <w:t>Mevzuat gereği saklanması gereken eğitim kanıtları ile ticari/kişisel veri saklama süreleri aynı kabul edilmez.</w:t>
      </w:r>
    </w:p>
    <w:p>
      <w:pPr>
        <w:pStyle w:val="TableCitation"/>
      </w:pPr>
      <w:r>
        <w:rPr>
          <w:rFonts w:ascii="Calibri" w:hAnsi="Calibri" w:eastAsia="Calibri"/>
          <w:i/>
          <w:color w:val="667085"/>
          <w:sz w:val="18"/>
        </w:rPr>
        <w:t>Kaynak: KVKK Kişisel Veri Güvenliği Rehberi (Teknik ve İdari Tedbirler).</w:t>
      </w:r>
      <w:r>
        <w:t xml:space="preserve"> </w:t>
      </w:r>
      <w:hyperlink r:id="rId16">
        <w:r>
          <w:rPr>
            <w:color w:val="2E74B5"/>
            <w:u w:val="single"/>
            <w:rFonts w:ascii="Calibri" w:hAnsi="Calibri"/>
          </w:rPr>
          <w:t>Resmî kaynak</w:t>
        </w:r>
      </w:hyperlink>
    </w:p>
    <w:p>
      <w:pPr>
        <w:pStyle w:val="TableCitation"/>
      </w:pPr>
      <w:r>
        <w:rPr>
          <w:rFonts w:ascii="Calibri" w:hAnsi="Calibri" w:eastAsia="Calibri"/>
          <w:i/>
          <w:color w:val="667085"/>
          <w:sz w:val="18"/>
        </w:rPr>
        <w:t>Kaynak: KVKK - Yurt Dışına Aktarım.</w:t>
      </w:r>
      <w:r>
        <w:t xml:space="preserve"> </w:t>
      </w:r>
      <w:hyperlink r:id="rId17">
        <w:r>
          <w:rPr>
            <w:color w:val="2E74B5"/>
            <w:u w:val="single"/>
            <w:rFonts w:ascii="Calibri" w:hAnsi="Calibri"/>
          </w:rPr>
          <w:t>Resmî kaynak</w:t>
        </w:r>
      </w:hyperlink>
    </w:p>
    <w:p>
      <w:pPr>
        <w:pStyle w:val="Heading1"/>
        <w:pageBreakBefore/>
        <w:keepNext/>
        <w:keepLines/>
      </w:pPr>
      <w:r>
        <w:t>14. Teknik Mimari ve Operasyon</w:t>
      </w:r>
    </w:p>
    <w:p>
      <w:r>
        <w:rPr>
          <w:rFonts w:ascii="Calibri" w:hAnsi="Calibri" w:eastAsia="Calibri"/>
          <w:i w:val="0"/>
        </w:rPr>
        <w:t>MVP için modüler monolit veya iyi sınırlandırılmış servis mimarisi, container tabanlı dağıtım ve yönetilen veritabanı önerilir. Kubernetes ancak müşteri sayısı, ekip kapasitesi ve operasyon ihtiyacı gerekçelendirdiğinde devreye alınmalıdır.</w:t>
      </w:r>
    </w:p>
    <w:tbl>
      <w:tblPr>
        <w:tblStyle w:val="TableGrid"/>
        <w:tblW w:type="dxa" w:w="9360"/>
        <w:jc w:val="left"/>
        <w:tblLayout w:type="fixed"/>
        <w:tblLook w:firstColumn="1" w:firstRow="1" w:lastColumn="0" w:lastRow="0" w:noHBand="0" w:noVBand="1" w:val="04A0"/>
        <w:tblInd w:type="dxa" w:w="120"/>
      </w:tblPr>
      <w:tblGrid>
        <w:gridCol w:w="2232"/>
        <w:gridCol w:w="7128"/>
      </w:tblGrid>
      <w:tr>
        <w:trPr>
          <w:tblHeader w:val="true"/>
          <w:cantSplit w:val="true"/>
        </w:trPr>
        <w:tc>
          <w:tcPr>
            <w:tcW w:type="dxa" w:w="223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Katman</w:t>
            </w:r>
          </w:p>
        </w:tc>
        <w:tc>
          <w:tcPr>
            <w:tcW w:type="dxa" w:w="712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Öneri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İstemci</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Responsive web uygulaması; PWA hazırlığı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Uygulama</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API-first, modüler servis sınırları, arka plan iş kuyruğu</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Veri</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İlişkisel veritabanı, tenant anahtarı, satır/şema izolasyonu</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Dosya</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Şifreli nesne depolama, sürüm ve zararlı yazılım taraması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Arama/Rapor</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Yetkili filtreleme; operasyonel rapor için ayrı okuma modeli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Bildirim</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Kuyruk tabanlı e-posta/SMS/WhatsApp adaptörleri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Entegrasyon</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API gateway/adaptör, idempotency, hata kuyruğu</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Gözlemlenebilirlik</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Log, metrik, iz, alarm ve kullanıcı etkisi takibi</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CI/CD</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Kod inceleme, otomatik test, güvenlik tarama, geri alma</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Ortamlar</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Geliştirme, test, UAT ve üretim ayrımı</w:t>
            </w:r>
          </w:p>
        </w:tc>
      </w:tr>
    </w:tbl>
    <w:p>
      <w:pPr>
        <w:spacing w:after="40"/>
      </w:pPr>
    </w:p>
    <w:p>
      <w:r>
        <w:rPr>
          <w:rFonts w:ascii="Calibri" w:hAnsi="Calibri" w:eastAsia="Calibri"/>
          <w:i w:val="0"/>
        </w:rPr>
        <w:t>Asgari hizmet hedefleri:</w:t>
      </w:r>
    </w:p>
    <w:tbl>
      <w:tblPr>
        <w:tblStyle w:val="TableGrid"/>
        <w:tblW w:type="dxa" w:w="9360"/>
        <w:jc w:val="left"/>
        <w:tblLayout w:type="fixed"/>
        <w:tblLook w:firstColumn="1" w:firstRow="1" w:lastColumn="0" w:lastRow="0" w:noHBand="0" w:noVBand="1" w:val="04A0"/>
        <w:tblInd w:type="dxa" w:w="120"/>
      </w:tblPr>
      <w:tblGrid>
        <w:gridCol w:w="2232"/>
        <w:gridCol w:w="7128"/>
      </w:tblGrid>
      <w:tr>
        <w:trPr>
          <w:tblHeader w:val="true"/>
          <w:cantSplit w:val="true"/>
        </w:trPr>
        <w:tc>
          <w:tcPr>
            <w:tcW w:type="dxa" w:w="223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NFR</w:t>
            </w:r>
          </w:p>
        </w:tc>
        <w:tc>
          <w:tcPr>
            <w:tcW w:type="dxa" w:w="712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Hedef</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Kullanılabilirlik</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Aylık en az %99,5; planlı bakım hariç</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Performans</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Standart ekranların %95’i 3 saniyenin altında</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RPO</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Üretimde en fazla 1 saat; PITR/işlem günlüğü ile</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RTO</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Kritik hizmetlerde 4 saat içinde geri dönüş</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Ölçek</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İlk fazda 20 tenant / 10.000 aktif kişi; yatay büyüme hazırlığı</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Log saklama</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Güvenlik ve mevzuat politikasına göre yapılandırılabilir</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Tarayıcı</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Güncel Chrome, Edge, Safari; responsive tablet/mobil</w:t>
            </w:r>
          </w:p>
        </w:tc>
      </w:tr>
      <w:tr>
        <w:trPr>
          <w:cantSplit w:val="true"/>
        </w:trPr>
        <w:tc>
          <w:tcPr>
            <w:tcW w:type="dxa" w:w="223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Erişilebilirlik</w:t>
            </w:r>
          </w:p>
        </w:tc>
        <w:tc>
          <w:tcPr>
            <w:tcW w:type="dxa" w:w="71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WCAG 2.1 AA’ya yaklaşan tasarım ve klavye kullanımı</w:t>
            </w:r>
          </w:p>
        </w:tc>
      </w:tr>
    </w:tbl>
    <w:p>
      <w:pPr>
        <w:spacing w:after="40"/>
      </w:pPr>
    </w:p>
    <w:p>
      <w:pPr>
        <w:pStyle w:val="Heading1"/>
        <w:pageBreakBefore/>
        <w:keepNext/>
        <w:keepLines/>
      </w:pPr>
      <w:r>
        <w:t>15. Veri Migrasyonu</w:t>
      </w:r>
    </w:p>
    <w:p>
      <w:pPr>
        <w:pStyle w:val="ListNumber"/>
        <w:numPr>
          <w:ilvl w:val="0"/>
          <w:numId w:val="11"/>
        </w:numPr>
      </w:pPr>
      <w:r>
        <w:rPr>
          <w:rFonts w:ascii="Calibri" w:hAnsi="Calibri" w:eastAsia="Calibri"/>
        </w:rPr>
        <w:t>Kaynak Excel, Word, PDF ve mevcut sertifika listeleri envanterlenir.</w:t>
      </w:r>
    </w:p>
    <w:p>
      <w:pPr>
        <w:pStyle w:val="ListNumber"/>
        <w:numPr>
          <w:ilvl w:val="0"/>
          <w:numId w:val="11"/>
        </w:numPr>
      </w:pPr>
      <w:r>
        <w:rPr>
          <w:rFonts w:ascii="Calibri" w:hAnsi="Calibri" w:eastAsia="Calibri"/>
        </w:rPr>
        <w:t>Alan eşleştirme sözlüğü hazırlanır; eğitim adları standart kataloğa bağlanır.</w:t>
      </w:r>
    </w:p>
    <w:p>
      <w:pPr>
        <w:pStyle w:val="ListNumber"/>
        <w:numPr>
          <w:ilvl w:val="0"/>
          <w:numId w:val="11"/>
        </w:numPr>
      </w:pPr>
      <w:r>
        <w:rPr>
          <w:rFonts w:ascii="Calibri" w:hAnsi="Calibri" w:eastAsia="Calibri"/>
        </w:rPr>
        <w:t>TCKN, firma, tarih, eğitim ve belge numarası mükerrerlik kuralları tanımlanır.</w:t>
      </w:r>
    </w:p>
    <w:p>
      <w:pPr>
        <w:pStyle w:val="ListNumber"/>
        <w:numPr>
          <w:ilvl w:val="0"/>
          <w:numId w:val="11"/>
        </w:numPr>
      </w:pPr>
      <w:r>
        <w:rPr>
          <w:rFonts w:ascii="Calibri" w:hAnsi="Calibri" w:eastAsia="Calibri"/>
        </w:rPr>
        <w:t>Deneme migrasyonu yapılır; hatalı ve eksik kayıt raporu iş sahibine verilir.</w:t>
      </w:r>
    </w:p>
    <w:p>
      <w:pPr>
        <w:pStyle w:val="ListNumber"/>
        <w:numPr>
          <w:ilvl w:val="0"/>
          <w:numId w:val="11"/>
        </w:numPr>
      </w:pPr>
      <w:r>
        <w:rPr>
          <w:rFonts w:ascii="Calibri" w:hAnsi="Calibri" w:eastAsia="Calibri"/>
        </w:rPr>
        <w:t>Mevzuat kuralı uygulanmadan önce geçmiş kayıtların “kaynak veri” statüsü korunur.</w:t>
      </w:r>
    </w:p>
    <w:p>
      <w:pPr>
        <w:pStyle w:val="ListNumber"/>
        <w:numPr>
          <w:ilvl w:val="0"/>
          <w:numId w:val="11"/>
        </w:numPr>
      </w:pPr>
      <w:r>
        <w:rPr>
          <w:rFonts w:ascii="Calibri" w:hAnsi="Calibri" w:eastAsia="Calibri"/>
        </w:rPr>
        <w:t>İş sahibi düzeltmeleri tamamlar; onaylı veri yüklenir.</w:t>
      </w:r>
    </w:p>
    <w:p>
      <w:pPr>
        <w:pStyle w:val="ListNumber"/>
        <w:numPr>
          <w:ilvl w:val="0"/>
          <w:numId w:val="11"/>
        </w:numPr>
      </w:pPr>
      <w:r>
        <w:rPr>
          <w:rFonts w:ascii="Calibri" w:hAnsi="Calibri" w:eastAsia="Calibri"/>
        </w:rPr>
        <w:t>Toplam kayıt, örneklem ve kritik tarih mutabakatı yapılır.</w:t>
      </w:r>
    </w:p>
    <w:p>
      <w:pPr>
        <w:pStyle w:val="ListNumber"/>
        <w:numPr>
          <w:ilvl w:val="0"/>
          <w:numId w:val="11"/>
        </w:numPr>
      </w:pPr>
      <w:r>
        <w:rPr>
          <w:rFonts w:ascii="Calibri" w:hAnsi="Calibri" w:eastAsia="Calibri"/>
        </w:rPr>
        <w:t>Kaynak dosya hash ve migrasyon raporuyla arşivlenir.</w:t>
      </w:r>
    </w:p>
    <w:p>
      <w:r>
        <w:rPr>
          <w:rFonts w:ascii="Calibri" w:hAnsi="Calibri" w:eastAsia="Calibri"/>
          <w:i w:val="0"/>
        </w:rPr>
        <w:t>Migrasyon kapsam önerisi:</w:t>
      </w:r>
    </w:p>
    <w:p>
      <w:pPr>
        <w:pStyle w:val="ListBullet"/>
      </w:pPr>
      <w:r>
        <w:rPr>
          <w:rFonts w:ascii="Calibri" w:hAnsi="Calibri" w:eastAsia="Calibri"/>
        </w:rPr>
        <w:t>Öncelik: hâlen geçerli belgeler ve önümüzdeki 24 ay içinde yenilenecek kayıtlar.</w:t>
      </w:r>
    </w:p>
    <w:p>
      <w:pPr>
        <w:pStyle w:val="ListBullet"/>
      </w:pPr>
      <w:r>
        <w:rPr>
          <w:rFonts w:ascii="Calibri" w:hAnsi="Calibri" w:eastAsia="Calibri"/>
        </w:rPr>
        <w:t>İkinci dalga: son beş yıllık eğitim ve kanıt arşivi.</w:t>
      </w:r>
    </w:p>
    <w:p>
      <w:pPr>
        <w:pStyle w:val="ListBullet"/>
      </w:pPr>
      <w:r>
        <w:rPr>
          <w:rFonts w:ascii="Calibri" w:hAnsi="Calibri" w:eastAsia="Calibri"/>
        </w:rPr>
        <w:t>Daha eski kayıtlar: hukuki ve operasyonel değerine göre salt okunur arşiv.</w:t>
      </w:r>
    </w:p>
    <w:p>
      <w:pPr>
        <w:pStyle w:val="ListBullet"/>
      </w:pPr>
      <w:r>
        <w:rPr>
          <w:rFonts w:ascii="Calibri" w:hAnsi="Calibri" w:eastAsia="Calibri"/>
        </w:rPr>
        <w:t>Yükleme sonrası hatalar manuel gizlenmez; hata logu ve düzeltme geçmişi saklanır.</w:t>
      </w:r>
    </w:p>
    <w:p>
      <w:pPr>
        <w:pStyle w:val="Heading1"/>
        <w:keepNext/>
        <w:keepLines/>
      </w:pPr>
      <w:r>
        <w:t>16. Raporlama ve KPI’lar</w:t>
      </w:r>
    </w:p>
    <w:tbl>
      <w:tblPr>
        <w:tblStyle w:val="TableGrid"/>
        <w:tblW w:type="dxa" w:w="9360"/>
        <w:jc w:val="left"/>
        <w:tblLayout w:type="fixed"/>
        <w:tblLook w:firstColumn="1" w:firstRow="1" w:lastColumn="0" w:lastRow="0" w:noHBand="0" w:noVBand="1" w:val="04A0"/>
        <w:tblInd w:type="dxa" w:w="120"/>
      </w:tblPr>
      <w:tblGrid>
        <w:gridCol w:w="2016"/>
        <w:gridCol w:w="7344"/>
      </w:tblGrid>
      <w:tr>
        <w:trPr>
          <w:tblHeader w:val="true"/>
          <w:cantSplit w:val="true"/>
        </w:trPr>
        <w:tc>
          <w:tcPr>
            <w:tcW w:type="dxa" w:w="201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Kategori</w:t>
            </w:r>
          </w:p>
        </w:tc>
        <w:tc>
          <w:tcPr>
            <w:tcW w:type="dxa" w:w="734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KPI / Rapor</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Uyum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Geçerli/sona yaklaşan/süresi geçmiş eğitim ve belgeler</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Risk</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Görevlendirilemeyen personel, eksik SGK/kanıt, resmî işlem gecikmesi</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Operasyon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Planlanan/gerçekleşen/iptal eğitim, doluluk, salon/eğitmen kullanımı</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Eğitim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Başarı oranı, yeniden sınav, devam, eğitim türü ve lokasyon dağılımı</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Eğitmen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Program/saat, belge süresi, çakışma, memnuniyet ve hakediş referansı</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Müşteri</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Firma başına aktif personel, eğitim ihtiyacı, talep ve yenileme</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Satış</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Fırsat, teklif, kabul, dönüşüm, teklif hazırlama süresi</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Finans</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Ciro, fatura/tahsilat durumu, firma ve eğitim bazlı özet</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Kalite</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İade/ret, veri hatası, belge revizyonu, destek talebi</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Sistem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Kullanıcı aktivitesi, başarısız bildirim, entegrasyon hatası, SLA</w:t>
            </w:r>
          </w:p>
        </w:tc>
      </w:tr>
    </w:tbl>
    <w:p>
      <w:pPr>
        <w:spacing w:after="40"/>
      </w:pPr>
    </w:p>
    <w:p>
      <w:pPr>
        <w:pStyle w:val="ListBullet"/>
      </w:pPr>
      <w:r>
        <w:rPr>
          <w:rFonts w:ascii="Calibri" w:hAnsi="Calibri" w:eastAsia="Calibri"/>
        </w:rPr>
        <w:t>Raporlar rol ve tenant kapsamına göre filtrelenir.</w:t>
      </w:r>
    </w:p>
    <w:p>
      <w:pPr>
        <w:pStyle w:val="ListBullet"/>
      </w:pPr>
      <w:r>
        <w:rPr>
          <w:rFonts w:ascii="Calibri" w:hAnsi="Calibri" w:eastAsia="Calibri"/>
        </w:rPr>
        <w:t>Excel/PDF dışa aktarımda kişisel veriler varsayılan olarak maskelenir.</w:t>
      </w:r>
    </w:p>
    <w:p>
      <w:pPr>
        <w:pStyle w:val="ListBullet"/>
      </w:pPr>
      <w:r>
        <w:rPr>
          <w:rFonts w:ascii="Calibri" w:hAnsi="Calibri" w:eastAsia="Calibri"/>
        </w:rPr>
        <w:t>KPI tanımı, hesaplama formülü, veri sahibi ve güncelleme sıklığı rapor sözlüğünde tutulur.</w:t>
      </w:r>
    </w:p>
    <w:p>
      <w:pPr>
        <w:pStyle w:val="ListBullet"/>
      </w:pPr>
      <w:r>
        <w:rPr>
          <w:rFonts w:ascii="Calibri" w:hAnsi="Calibri" w:eastAsia="Calibri"/>
        </w:rPr>
        <w:t>Dashboard’da yalnızca aksiyon üreten KPI’lar öne çıkarılır.</w:t>
      </w:r>
    </w:p>
    <w:p>
      <w:pPr>
        <w:pStyle w:val="Heading1"/>
        <w:pageBreakBefore/>
        <w:keepNext/>
        <w:keepLines/>
      </w:pPr>
      <w:r>
        <w:t>17. Yol Haritası ve Fazlar</w:t>
      </w:r>
    </w:p>
    <w:tbl>
      <w:tblPr>
        <w:tblStyle w:val="TableGrid"/>
        <w:tblW w:type="dxa" w:w="9360"/>
        <w:jc w:val="left"/>
        <w:tblLayout w:type="fixed"/>
        <w:tblLook w:firstColumn="1" w:firstRow="1" w:lastColumn="0" w:lastRow="0" w:noHBand="0" w:noVBand="1" w:val="04A0"/>
        <w:tblInd w:type="dxa" w:w="120"/>
      </w:tblPr>
      <w:tblGrid>
        <w:gridCol w:w="648"/>
        <w:gridCol w:w="1800"/>
        <w:gridCol w:w="1152"/>
        <w:gridCol w:w="4824"/>
        <w:gridCol w:w="936"/>
      </w:tblGrid>
      <w:tr>
        <w:trPr>
          <w:tblHeader w:val="true"/>
          <w:cantSplit w:val="true"/>
        </w:trPr>
        <w:tc>
          <w:tcPr>
            <w:tcW w:type="dxa" w:w="64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Faz</w:t>
            </w:r>
          </w:p>
        </w:tc>
        <w:tc>
          <w:tcPr>
            <w:tcW w:type="dxa" w:w="180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Ad</w:t>
            </w:r>
          </w:p>
        </w:tc>
        <w:tc>
          <w:tcPr>
            <w:tcW w:type="dxa" w:w="115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Süre</w:t>
            </w:r>
          </w:p>
        </w:tc>
        <w:tc>
          <w:tcPr>
            <w:tcW w:type="dxa" w:w="482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Ana çıktı</w:t>
            </w:r>
          </w:p>
        </w:tc>
        <w:tc>
          <w:tcPr>
            <w:tcW w:type="dxa" w:w="93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Kapı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0</w:t>
            </w:r>
          </w:p>
        </w:tc>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Mevzuat ve keşif</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2 hafta</w:t>
            </w:r>
          </w:p>
        </w:tc>
        <w:tc>
          <w:tcPr>
            <w:tcW w:type="dxa" w:w="48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9 DGY + 13 IMDG müfredatının sayısallaştırılması, kural kataloğu, süreç ve prototip</w:t>
            </w:r>
          </w:p>
        </w:tc>
        <w:tc>
          <w:tcPr>
            <w:tcW w:type="dxa" w:w="9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Kapsam onayı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1</w:t>
            </w:r>
          </w:p>
        </w:tc>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Çekirdek MVP</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6 hafta</w:t>
            </w:r>
          </w:p>
        </w:tc>
        <w:tc>
          <w:tcPr>
            <w:tcW w:type="dxa" w:w="48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Tenant, firma, kişi, istihdam, matris, belge ve uyarı</w:t>
            </w:r>
          </w:p>
        </w:tc>
        <w:tc>
          <w:tcPr>
            <w:tcW w:type="dxa" w:w="9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Teknik demo</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2</w:t>
            </w:r>
          </w:p>
        </w:tc>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Eğitim operasyonu</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4 hafta</w:t>
            </w:r>
          </w:p>
        </w:tc>
        <w:tc>
          <w:tcPr>
            <w:tcW w:type="dxa" w:w="48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Program, eğitmen, yer, devam, sınav ve sertifika</w:t>
            </w:r>
          </w:p>
        </w:tc>
        <w:tc>
          <w:tcPr>
            <w:tcW w:type="dxa" w:w="9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Pilot UAT</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3</w:t>
            </w:r>
          </w:p>
        </w:tc>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e-İşlem ve portal</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4 hafta</w:t>
            </w:r>
          </w:p>
        </w:tc>
        <w:tc>
          <w:tcPr>
            <w:tcW w:type="dxa" w:w="48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Resmî görev merkezi, müşteri portalı, teklif ve denetim dosyası</w:t>
            </w:r>
          </w:p>
        </w:tc>
        <w:tc>
          <w:tcPr>
            <w:tcW w:type="dxa" w:w="9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Ücretli v1</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4</w:t>
            </w:r>
          </w:p>
        </w:tc>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Ölçek ve entegrasyon</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7"/>
              </w:rPr>
              <w:t>6 hafta</w:t>
            </w:r>
          </w:p>
        </w:tc>
        <w:tc>
          <w:tcPr>
            <w:tcW w:type="dxa" w:w="48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Muhasebe/SMS/API, gelişmiş rapor, güvenlik sertleştirme</w:t>
            </w:r>
          </w:p>
        </w:tc>
        <w:tc>
          <w:tcPr>
            <w:tcW w:type="dxa" w:w="93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SaaS v1.5</w:t>
            </w:r>
          </w:p>
        </w:tc>
      </w:tr>
    </w:tbl>
    <w:p>
      <w:pPr>
        <w:spacing w:after="40"/>
      </w:pPr>
    </w:p>
    <w:p>
      <w:pPr>
        <w:spacing w:before="100" w:after="180" w:line="264" w:lineRule="auto"/>
        <w:ind w:left="115" w:right="115"/>
        <w:shd w:fill="E8EEF5"/>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Takvim: </w:t>
      </w:r>
      <w:r>
        <w:rPr>
          <w:rFonts w:ascii="Calibri" w:hAnsi="Calibri" w:eastAsia="Calibri"/>
        </w:rPr>
        <w:t>8. haftada çalışan MVP, 12. haftada pilot, 16. haftada ücretli müşteri sürümü ve 22. haftada ölçeklenebilir SaaS sürümü hedeflenebilir. Takvim; onayların gecikmemesi ve tek bir yetkili ürün sahibinin bulunması varsayımına dayanır.</w:t>
      </w:r>
    </w:p>
    <w:p>
      <w:r>
        <w:rPr>
          <w:rFonts w:ascii="Calibri" w:hAnsi="Calibri" w:eastAsia="Calibri"/>
          <w:i w:val="0"/>
        </w:rPr>
        <w:t>Her fazın çıkış kriteri:</w:t>
      </w:r>
    </w:p>
    <w:p>
      <w:pPr>
        <w:pStyle w:val="ListBullet"/>
      </w:pPr>
      <w:r>
        <w:rPr>
          <w:rFonts w:ascii="Calibri" w:hAnsi="Calibri" w:eastAsia="Calibri"/>
        </w:rPr>
        <w:t>Kapsam ve kabul kriterleri yazılıdır.</w:t>
      </w:r>
    </w:p>
    <w:p>
      <w:pPr>
        <w:pStyle w:val="ListBullet"/>
      </w:pPr>
      <w:r>
        <w:rPr>
          <w:rFonts w:ascii="Calibri" w:hAnsi="Calibri" w:eastAsia="Calibri"/>
        </w:rPr>
        <w:t>Kod incelemesi, otomatik test ve güvenlik kontrolleri tamamlanmıştır.</w:t>
      </w:r>
    </w:p>
    <w:p>
      <w:pPr>
        <w:pStyle w:val="ListBullet"/>
      </w:pPr>
      <w:r>
        <w:rPr>
          <w:rFonts w:ascii="Calibri" w:hAnsi="Calibri" w:eastAsia="Calibri"/>
        </w:rPr>
        <w:t>İlgili mevzuat/operasyon sahibi UAT onayı vermiştir.</w:t>
      </w:r>
    </w:p>
    <w:p>
      <w:pPr>
        <w:pStyle w:val="ListBullet"/>
      </w:pPr>
      <w:r>
        <w:rPr>
          <w:rFonts w:ascii="Calibri" w:hAnsi="Calibri" w:eastAsia="Calibri"/>
        </w:rPr>
        <w:t>Veri migrasyonu ve geri alma planı test edilmiştir.</w:t>
      </w:r>
    </w:p>
    <w:p>
      <w:pPr>
        <w:pStyle w:val="ListBullet"/>
      </w:pPr>
      <w:r>
        <w:rPr>
          <w:rFonts w:ascii="Calibri" w:hAnsi="Calibri" w:eastAsia="Calibri"/>
        </w:rPr>
        <w:t>Kullanıcı dokümanı, destek akışı ve sürüm notu hazırdır.</w:t>
      </w:r>
    </w:p>
    <w:p>
      <w:pPr>
        <w:pStyle w:val="Heading1"/>
        <w:pageBreakBefore/>
        <w:keepNext/>
        <w:keepLines/>
      </w:pPr>
      <w:r>
        <w:t>18. Test, Kabul Kriterleri ve Definition of Done</w:t>
      </w:r>
    </w:p>
    <w:tbl>
      <w:tblPr>
        <w:tblStyle w:val="TableGrid"/>
        <w:tblW w:type="dxa" w:w="9360"/>
        <w:jc w:val="left"/>
        <w:tblLayout w:type="fixed"/>
        <w:tblLook w:firstColumn="1" w:firstRow="1" w:lastColumn="0" w:lastRow="0" w:noHBand="0" w:noVBand="1" w:val="04A0"/>
        <w:tblInd w:type="dxa" w:w="120"/>
      </w:tblPr>
      <w:tblGrid>
        <w:gridCol w:w="1008"/>
        <w:gridCol w:w="2088"/>
        <w:gridCol w:w="6264"/>
      </w:tblGrid>
      <w:tr>
        <w:trPr>
          <w:tblHeader w:val="true"/>
          <w:cantSplit w:val="true"/>
        </w:trPr>
        <w:tc>
          <w:tcPr>
            <w:tcW w:type="dxa" w:w="100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ID</w:t>
            </w:r>
          </w:p>
        </w:tc>
        <w:tc>
          <w:tcPr>
            <w:tcW w:type="dxa" w:w="208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Konu</w:t>
            </w:r>
          </w:p>
        </w:tc>
        <w:tc>
          <w:tcPr>
            <w:tcW w:type="dxa" w:w="626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Kabul Kriteri</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AC-01</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Tenant izolasyonu</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Firma A kullanıcısı Firma B verisine hiçbir ekran/API/rapordan erişemez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AC-02</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Yetkinlik kontrolü</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Uygun belgesi olmayan eğitmen atanamaz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AC-03</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Katılımcı uygunluğu</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Eksik eğitim/diploma/istihdam kanıtında gerekçeli blok oluşur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AC-04</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Kapasite</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Tehlikeli yük gözetim seminerinde 26. kişi kaydedilemez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AC-05</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Sınav</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25 sorudan az veya 70 altı sonuçta sertifika üretilemez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AC-06</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Resmî onay</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Onay kanıtı olmayan program onaylı duruma geçemez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AC-07</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Yenileme</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90/60/45/30/15/7 gün ve süresi geçti olayları doğru üretilir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AC-08</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İstihdam geçmişi</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Personel firma değiştirince eski ilişki korunur, aktif ilişki güncellenir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AC-09</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Belge yaşam döngüsü</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Yanlış belge silinmez; iptal/revizyon ve neden kaydı oluşur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AC-10</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Audit</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Kritik görüntüleme/değişiklik/indirme işlemleri kullanıcı ve zamanla izlenir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AC-11</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Migrasyon</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Kaynak-hedef toplamı ve kritik tarih örneklemi mutabıktır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AC-12</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Yedek geri dönüş</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RPO/RTO hedefleri test raporuyla doğrulanır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AC-13</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Performans</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Standart sorguların %95’i hedef süreyi karşılar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AC-14</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Dışa aktarım</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Yetkisiz kişisel alanlar maskeli ve erişim loglu çıkar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AC-15</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e-İşlem</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Başvuru no, kanıt, sorumlu, son tarih ve kapanış olmadan işlem tamamlanmaz</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AC-16</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DGY müfredatı</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Dokuz hizmet alanının her birinde zorunlu konu listesi ve 8/12/16 saat toplamı eksiksiz yüklenir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AC-17</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IMDG görev matrisi</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On üç görevin ilk/yenileme süresi, eğitici ve görev eşleştirme testleri kaynak tabloyla birebir sonuç verir</w:t>
            </w:r>
          </w:p>
        </w:tc>
      </w:tr>
      <w:tr>
        <w:trPr>
          <w:cantSplit w:val="true"/>
        </w:trPr>
        <w:tc>
          <w:tcPr>
            <w:tcW w:type="dxa" w:w="100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AC-18</w:t>
            </w:r>
          </w:p>
        </w:tc>
        <w:tc>
          <w:tcPr>
            <w:tcW w:type="dxa" w:w="208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Kapsama kuralı</w:t>
            </w:r>
          </w:p>
        </w:tc>
        <w:tc>
          <w:tcPr>
            <w:tcW w:type="dxa" w:w="626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4→2+3, 9→7 ve 8→5+6 ilişkileri sertifikaya yansır; kapsam dışı görev kendiliğinden eklenmez</w:t>
            </w:r>
          </w:p>
        </w:tc>
      </w:tr>
    </w:tbl>
    <w:p>
      <w:pPr>
        <w:spacing w:after="40"/>
      </w:pPr>
    </w:p>
    <w:p>
      <w:r>
        <w:rPr>
          <w:rFonts w:ascii="Calibri" w:hAnsi="Calibri" w:eastAsia="Calibri"/>
          <w:i w:val="0"/>
        </w:rPr>
        <w:t>Test katmanları:</w:t>
      </w:r>
    </w:p>
    <w:p>
      <w:pPr>
        <w:pStyle w:val="ListBullet"/>
      </w:pPr>
      <w:r>
        <w:rPr>
          <w:rFonts w:ascii="Calibri" w:hAnsi="Calibri" w:eastAsia="Calibri"/>
        </w:rPr>
        <w:t>Birim testi: kural hesaplama, tarih, fiyat, yetki ve durum geçişleri</w:t>
      </w:r>
    </w:p>
    <w:p>
      <w:pPr>
        <w:pStyle w:val="ListBullet"/>
      </w:pPr>
      <w:r>
        <w:rPr>
          <w:rFonts w:ascii="Calibri" w:hAnsi="Calibri" w:eastAsia="Calibri"/>
        </w:rPr>
        <w:t>Entegrasyon testi: e-posta, dosya, muhasebe, SMS/API adaptörleri</w:t>
      </w:r>
    </w:p>
    <w:p>
      <w:pPr>
        <w:pStyle w:val="ListBullet"/>
      </w:pPr>
      <w:r>
        <w:rPr>
          <w:rFonts w:ascii="Calibri" w:hAnsi="Calibri" w:eastAsia="Calibri"/>
        </w:rPr>
        <w:t>Güvenlik testi: tenant izolasyonu, yetki aşımı, OWASP kontrolleri ve sızma testi</w:t>
      </w:r>
    </w:p>
    <w:p>
      <w:pPr>
        <w:pStyle w:val="ListBullet"/>
      </w:pPr>
      <w:r>
        <w:rPr>
          <w:rFonts w:ascii="Calibri" w:hAnsi="Calibri" w:eastAsia="Calibri"/>
        </w:rPr>
        <w:t>Migrasyon testi: toplam, mükerrerlik, tarih ve belge örneklemi</w:t>
      </w:r>
    </w:p>
    <w:p>
      <w:pPr>
        <w:pStyle w:val="ListBullet"/>
      </w:pPr>
      <w:r>
        <w:rPr>
          <w:rFonts w:ascii="Calibri" w:hAnsi="Calibri" w:eastAsia="Calibri"/>
        </w:rPr>
        <w:t>UAT: 3E operasyon, eğitmen, satış, firma yöneticisi ve denetçi senaryoları</w:t>
      </w:r>
    </w:p>
    <w:p>
      <w:pPr>
        <w:pStyle w:val="ListBullet"/>
      </w:pPr>
      <w:r>
        <w:rPr>
          <w:rFonts w:ascii="Calibri" w:hAnsi="Calibri" w:eastAsia="Calibri"/>
        </w:rPr>
        <w:t>Felaket kurtarma testi: yedekten dönüş ve iş sürekliliği</w:t>
      </w:r>
    </w:p>
    <w:p>
      <w:r>
        <w:rPr>
          <w:rFonts w:ascii="Calibri" w:hAnsi="Calibri" w:eastAsia="Calibri"/>
          <w:i w:val="0"/>
        </w:rPr>
        <w:t>Definition of Done:</w:t>
      </w:r>
    </w:p>
    <w:p>
      <w:pPr>
        <w:pStyle w:val="ListBullet"/>
      </w:pPr>
      <w:r>
        <w:rPr>
          <w:rFonts w:ascii="Calibri" w:hAnsi="Calibri" w:eastAsia="Calibri"/>
        </w:rPr>
        <w:t>Gereksinim ve kabul kriteri karşılanmış, kod incelemesi tamamlanmış ve testler geçmiştir.</w:t>
      </w:r>
    </w:p>
    <w:p>
      <w:pPr>
        <w:pStyle w:val="ListBullet"/>
      </w:pPr>
      <w:r>
        <w:rPr>
          <w:rFonts w:ascii="Calibri" w:hAnsi="Calibri" w:eastAsia="Calibri"/>
        </w:rPr>
        <w:t>Güvenlik, audit, yetki, KVKK ve hata mesajları birlikte doğrulanmıştır.</w:t>
      </w:r>
    </w:p>
    <w:p>
      <w:pPr>
        <w:pStyle w:val="ListBullet"/>
      </w:pPr>
      <w:r>
        <w:rPr>
          <w:rFonts w:ascii="Calibri" w:hAnsi="Calibri" w:eastAsia="Calibri"/>
        </w:rPr>
        <w:t>İlgili dokümantasyon, sürüm notu ve kullanıcı yardımı günceldir.</w:t>
      </w:r>
    </w:p>
    <w:p>
      <w:pPr>
        <w:pStyle w:val="ListBullet"/>
      </w:pPr>
      <w:r>
        <w:rPr>
          <w:rFonts w:ascii="Calibri" w:hAnsi="Calibri" w:eastAsia="Calibri"/>
        </w:rPr>
        <w:t>Ürün sahibi ve alan sorumlusu gerekli onayı vermiştir.</w:t>
      </w:r>
    </w:p>
    <w:p>
      <w:pPr>
        <w:pStyle w:val="ListBullet"/>
      </w:pPr>
      <w:r>
        <w:rPr>
          <w:rFonts w:ascii="Calibri" w:hAnsi="Calibri" w:eastAsia="Calibri"/>
        </w:rPr>
        <w:t>Üretime geçiş ve geri alma planı hazırdır.</w:t>
      </w:r>
    </w:p>
    <w:p>
      <w:pPr>
        <w:pStyle w:val="Heading1"/>
        <w:keepNext/>
        <w:keepLines/>
      </w:pPr>
      <w:r>
        <w:t>19. Riskler, Varsayımlar ve Bağımlılıklar</w:t>
      </w:r>
    </w:p>
    <w:tbl>
      <w:tblPr>
        <w:tblStyle w:val="TableGrid"/>
        <w:tblW w:type="dxa" w:w="9360"/>
        <w:jc w:val="left"/>
        <w:tblLayout w:type="fixed"/>
        <w:tblLook w:firstColumn="1" w:firstRow="1" w:lastColumn="0" w:lastRow="0" w:noHBand="0" w:noVBand="1" w:val="04A0"/>
        <w:tblInd w:type="dxa" w:w="120"/>
      </w:tblPr>
      <w:tblGrid>
        <w:gridCol w:w="648"/>
        <w:gridCol w:w="2376"/>
        <w:gridCol w:w="1224"/>
        <w:gridCol w:w="5112"/>
      </w:tblGrid>
      <w:tr>
        <w:trPr>
          <w:tblHeader w:val="true"/>
          <w:cantSplit w:val="true"/>
        </w:trPr>
        <w:tc>
          <w:tcPr>
            <w:tcW w:type="dxa" w:w="64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ID</w:t>
            </w:r>
          </w:p>
        </w:tc>
        <w:tc>
          <w:tcPr>
            <w:tcW w:type="dxa" w:w="237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Risk</w:t>
            </w:r>
          </w:p>
        </w:tc>
        <w:tc>
          <w:tcPr>
            <w:tcW w:type="dxa" w:w="122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Etki</w:t>
            </w:r>
          </w:p>
        </w:tc>
        <w:tc>
          <w:tcPr>
            <w:tcW w:type="dxa" w:w="511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Önlem</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R1</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Mevzuat değişikliği</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Sürümlü kural motoru, değişiklik alarmı ve alan onayı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R2</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Resmî API olmaması</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Kanıtlı manuel akış ve şablonlu dışa aktarım</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R3</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Eski veri kalitesi</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Deneme migrasyonu, hata raporu ve veri sahibi onayı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R4</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Yanlış süre/iş kuralı</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Çift onay, test vakası ve kaynak madde bağlantısı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R5</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KVKK/yurt dışı aktarım</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Hukuki analiz, sözleşme, veri minimizasyonu ve bölge kararı</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R6</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Kapsam şişmesi</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Orta</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MVP sınırı, değişiklik kurulu ve fazlandırma</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R7</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Tam muhasebe geliştirme yükü</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Orta</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Entegrasyon önceliği ve finans referans modülü</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R8</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Kullanıcı benimsemesi</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Orta</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Pilot, eğitim, basit ekran, veri sahipliği ve destek</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R9</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Bildirim teslimi</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Orta</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Çoklu kanal, teslim kaydı ve eskalasyon</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R10</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Teknik kesinti/veri kaybı</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PITR, yedek, izleme ve test edilen DR</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R11</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Yetkisiz veri erişimi</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Yüksek</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Tenant izolasyonu, MFA, en az yetki ve audit</w:t>
            </w:r>
          </w:p>
        </w:tc>
      </w:tr>
      <w:tr>
        <w:trPr>
          <w:cantSplit w:val="true"/>
        </w:trPr>
        <w:tc>
          <w:tcPr>
            <w:tcW w:type="dxa" w:w="64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R12</w:t>
            </w:r>
          </w:p>
        </w:tc>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Anahtar kişiye bağımlılık</w:t>
            </w:r>
          </w:p>
        </w:tc>
        <w:tc>
          <w:tcPr>
            <w:tcW w:type="dxa" w:w="122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Orta</w:t>
            </w:r>
          </w:p>
        </w:tc>
        <w:tc>
          <w:tcPr>
            <w:tcW w:type="dxa" w:w="511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Dokümantasyon, yedek rol ve görev ayrılığı</w:t>
            </w:r>
          </w:p>
        </w:tc>
      </w:tr>
    </w:tbl>
    <w:p>
      <w:pPr>
        <w:spacing w:after="40"/>
      </w:pPr>
    </w:p>
    <w:p>
      <w:r>
        <w:rPr>
          <w:rFonts w:ascii="Calibri" w:hAnsi="Calibri" w:eastAsia="Calibri"/>
          <w:i w:val="0"/>
        </w:rPr>
        <w:t>Temel varsayımlar:</w:t>
      </w:r>
    </w:p>
    <w:p>
      <w:pPr>
        <w:pStyle w:val="ListBullet"/>
      </w:pPr>
      <w:r>
        <w:rPr>
          <w:rFonts w:ascii="Calibri" w:hAnsi="Calibri" w:eastAsia="Calibri"/>
        </w:rPr>
        <w:t>3E Akademi tek bir yetkili ürün sahibi ve karar takvimi belirleyecektir.</w:t>
      </w:r>
    </w:p>
    <w:p>
      <w:pPr>
        <w:pStyle w:val="ListBullet"/>
      </w:pPr>
      <w:r>
        <w:rPr>
          <w:rFonts w:ascii="Calibri" w:hAnsi="Calibri" w:eastAsia="Calibri"/>
        </w:rPr>
        <w:t>Mevzuat kuralları canlıya çıkmadan önce alan sorumlusu tarafından onaylanacaktır.</w:t>
      </w:r>
    </w:p>
    <w:p>
      <w:pPr>
        <w:pStyle w:val="ListBullet"/>
      </w:pPr>
      <w:r>
        <w:rPr>
          <w:rFonts w:ascii="Calibri" w:hAnsi="Calibri" w:eastAsia="Calibri"/>
        </w:rPr>
        <w:t>Müşteri firmalar personel ve SGK/istihdam kanıtlarının doğruluğundan sorumludur.</w:t>
      </w:r>
    </w:p>
    <w:p>
      <w:pPr>
        <w:pStyle w:val="ListBullet"/>
      </w:pPr>
      <w:r>
        <w:rPr>
          <w:rFonts w:ascii="Calibri" w:hAnsi="Calibri" w:eastAsia="Calibri"/>
        </w:rPr>
        <w:t>Resmî sistem entegrasyonu için gerekli yetki ve dokümantasyon bulunmadıkça manuel kanıtlı akış kullanılacaktır.</w:t>
      </w:r>
    </w:p>
    <w:p>
      <w:pPr>
        <w:pStyle w:val="ListBullet"/>
      </w:pPr>
      <w:r>
        <w:rPr>
          <w:rFonts w:ascii="Calibri" w:hAnsi="Calibri" w:eastAsia="Calibri"/>
        </w:rPr>
        <w:t>Pilot için gerçek verisi temizlenmiş en az iki farklı müşteri firma seçilecektir.</w:t>
      </w:r>
    </w:p>
    <w:p>
      <w:pPr>
        <w:pStyle w:val="Heading1"/>
        <w:pageBreakBefore/>
        <w:keepNext/>
        <w:keepLines/>
      </w:pPr>
      <w:r>
        <w:t>20. Ticarileştirme Çerçevesi</w:t>
      </w:r>
    </w:p>
    <w:p>
      <w:r>
        <w:rPr>
          <w:rFonts w:ascii="Calibri" w:hAnsi="Calibri" w:eastAsia="Calibri"/>
          <w:i w:val="0"/>
        </w:rPr>
        <w:t>Ürün “eğitim planlama yazılımı” yerine “yetkinlik ve resmî uyum güvencesi” olarak konumlandırılmalıdır. Lisanslama; aktif personel, tenant/firma, modül ve destek seviyesi üzerinden tasarlanabilir.</w:t>
      </w:r>
    </w:p>
    <w:tbl>
      <w:tblPr>
        <w:tblStyle w:val="TableGrid"/>
        <w:tblW w:type="dxa" w:w="9360"/>
        <w:jc w:val="left"/>
        <w:tblLayout w:type="fixed"/>
        <w:tblLook w:firstColumn="1" w:firstRow="1" w:lastColumn="0" w:lastRow="0" w:noHBand="0" w:noVBand="1" w:val="04A0"/>
        <w:tblInd w:type="dxa" w:w="120"/>
      </w:tblPr>
      <w:tblGrid>
        <w:gridCol w:w="2376"/>
        <w:gridCol w:w="6984"/>
      </w:tblGrid>
      <w:tr>
        <w:trPr>
          <w:tblHeader w:val="true"/>
          <w:cantSplit w:val="true"/>
        </w:trPr>
        <w:tc>
          <w:tcPr>
            <w:tcW w:type="dxa" w:w="237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Paket</w:t>
            </w:r>
          </w:p>
        </w:tc>
        <w:tc>
          <w:tcPr>
            <w:tcW w:type="dxa" w:w="698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8"/>
              </w:rPr>
              <w:t>Kapsam</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Uyum İzleme</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Firma/personel, yetkinlik matrisi, belge, yenileme, dashboard</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Eğitim Operasyonu</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Uyum İzleme + program, eğitmen, devam, sınav, sertifika, teklif</w:t>
            </w:r>
          </w:p>
        </w:tc>
      </w:tr>
      <w:tr>
        <w:trPr>
          <w:cantSplit w:val="true"/>
        </w:trPr>
        <w:tc>
          <w:tcPr>
            <w:tcW w:type="dxa" w:w="237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8"/>
              </w:rPr>
              <w:t>Kurumsal</w:t>
            </w:r>
          </w:p>
        </w:tc>
        <w:tc>
          <w:tcPr>
            <w:tcW w:type="dxa" w:w="698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8"/>
              </w:rPr>
              <w:t>Eğitim Operasyonu + SSO, API, gelişmiş audit, özel rapor, entegrasyon ve SLA</w:t>
            </w:r>
          </w:p>
        </w:tc>
      </w:tr>
    </w:tbl>
    <w:p>
      <w:pPr>
        <w:spacing w:after="40"/>
      </w:pPr>
    </w:p>
    <w:p>
      <w:pPr>
        <w:pStyle w:val="ListBullet"/>
      </w:pPr>
      <w:r>
        <w:rPr>
          <w:rFonts w:ascii="Calibri" w:hAnsi="Calibri" w:eastAsia="Calibri"/>
        </w:rPr>
        <w:t>Kurulum/veri migrasyonu ayrı hizmet olarak fiyatlandırılabilir.</w:t>
      </w:r>
    </w:p>
    <w:p>
      <w:pPr>
        <w:pStyle w:val="ListBullet"/>
      </w:pPr>
      <w:r>
        <w:rPr>
          <w:rFonts w:ascii="Calibri" w:hAnsi="Calibri" w:eastAsia="Calibri"/>
        </w:rPr>
        <w:t>Mevzuat güncelleme ve operasyon desteği yıllık hizmet paketine bağlanabilir.</w:t>
      </w:r>
    </w:p>
    <w:p>
      <w:pPr>
        <w:pStyle w:val="ListBullet"/>
      </w:pPr>
      <w:r>
        <w:rPr>
          <w:rFonts w:ascii="Calibri" w:hAnsi="Calibri" w:eastAsia="Calibri"/>
        </w:rPr>
        <w:t>Firma portalı müşteri bağlılığını ve yenileme görünürlüğünü artırır.</w:t>
      </w:r>
    </w:p>
    <w:p>
      <w:pPr>
        <w:pStyle w:val="ListBullet"/>
      </w:pPr>
      <w:r>
        <w:rPr>
          <w:rFonts w:ascii="Calibri" w:hAnsi="Calibri" w:eastAsia="Calibri"/>
        </w:rPr>
        <w:t>Aynı veri omurgası ileride TMGD, saha gözetimi, EUDR/CBAM ve Logfiks entegrasyonları için kullanılabilir.</w:t>
      </w:r>
    </w:p>
    <w:p>
      <w:pPr>
        <w:pStyle w:val="Heading1"/>
        <w:pageBreakBefore/>
        <w:keepNext/>
        <w:keepLines/>
      </w:pPr>
      <w:r>
        <w:t>Ek A - Deniz Ticareti Gözetim Eğitim Müfredatları</w:t>
      </w:r>
    </w:p>
    <w:p>
      <w:r>
        <w:rPr>
          <w:rFonts w:ascii="Calibri" w:hAnsi="Calibri" w:eastAsia="Calibri"/>
          <w:i w:val="0"/>
        </w:rPr>
        <w:t>Bu ekteki dokuz eğitim, Deniz Ticareti Gözetim Hizmetleri Uygulama Yönergesi Ek-3’teki hizmet alanı, kapsam ve süre bilgileri esas alınarak yazılım ana verisine dönüştürülmüştür. “İç sistem kodu” alanları 3E platformu için öneridir; resmî kod değildir.</w:t>
      </w:r>
    </w:p>
    <w:tbl>
      <w:tblPr>
        <w:tblStyle w:val="TableGrid"/>
        <w:tblW w:type="dxa" w:w="9360"/>
        <w:jc w:val="left"/>
        <w:tblLayout w:type="fixed"/>
        <w:tblLook w:firstColumn="1" w:firstRow="1" w:lastColumn="0" w:lastRow="0" w:noHBand="0" w:noVBand="1" w:val="04A0"/>
        <w:tblInd w:type="dxa" w:w="120"/>
      </w:tblPr>
      <w:tblGrid>
        <w:gridCol w:w="1800"/>
        <w:gridCol w:w="5328"/>
        <w:gridCol w:w="1080"/>
        <w:gridCol w:w="1152"/>
      </w:tblGrid>
      <w:tr>
        <w:trPr>
          <w:tblHeader w:val="true"/>
          <w:cantSplit w:val="true"/>
        </w:trPr>
        <w:tc>
          <w:tcPr>
            <w:tcW w:type="dxa" w:w="180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İç Sistem Kodu</w:t>
            </w:r>
          </w:p>
        </w:tc>
        <w:tc>
          <w:tcPr>
            <w:tcW w:type="dxa" w:w="532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Hizmet Alanı</w:t>
            </w:r>
          </w:p>
        </w:tc>
        <w:tc>
          <w:tcPr>
            <w:tcW w:type="dxa" w:w="108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Süre</w:t>
            </w:r>
          </w:p>
        </w:tc>
        <w:tc>
          <w:tcPr>
            <w:tcW w:type="dxa" w:w="115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6"/>
              </w:rPr>
              <w:t>Yenileme</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DGY-GAS-08</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 alım-satım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DGY-KGC-12</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Gemilerin kiraya giriş-çıkış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12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DGY-SOK-08</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Söküm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DGY-YMS-16</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 miktarı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DGY-YAK-08</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Yağ ve yakıt ölçümü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DGY-YBA-16</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Gemi yükleme, boşaltma ve aktarma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16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DGY-LTS-08</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Liman ve tank sahası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DGY-KSI-08</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Konteyner stok kontrolü ve istif emniyeti sürveyi</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r>
        <w:trPr>
          <w:cantSplit w:val="true"/>
        </w:trPr>
        <w:tc>
          <w:tcPr>
            <w:tcW w:type="dxa" w:w="180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DGY-YOK-08</w:t>
            </w:r>
          </w:p>
        </w:tc>
        <w:tc>
          <w:tcPr>
            <w:tcW w:type="dxa" w:w="532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6"/>
              </w:rPr>
              <w:t>Yükleme öncesi kontrol</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8 saat</w:t>
            </w:r>
          </w:p>
        </w:tc>
        <w:tc>
          <w:tcPr>
            <w:tcW w:type="dxa" w:w="115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6"/>
              </w:rPr>
              <w:t>5 yıl</w:t>
            </w:r>
          </w:p>
        </w:tc>
      </w:tr>
    </w:tbl>
    <w:p>
      <w:pPr>
        <w:spacing w:after="40"/>
      </w:pPr>
    </w:p>
    <w:p>
      <w:pPr>
        <w:pStyle w:val="Heading2"/>
      </w:pPr>
      <w:r>
        <w:rPr>
          <w:rFonts w:ascii="Calibri" w:hAnsi="Calibri" w:eastAsia="Calibri"/>
          <w:i w:val="0"/>
        </w:rPr>
        <w:t>A.1 Gemi alım-satım sürveyi</w:t>
      </w:r>
    </w:p>
    <w:p>
      <w:pPr>
        <w:pStyle w:val="SmallMetadata"/>
      </w:pPr>
      <w:r>
        <w:rPr>
          <w:rFonts w:ascii="Calibri" w:hAnsi="Calibri" w:eastAsia="Calibri"/>
          <w:i/>
        </w:rPr>
        <w:t>DGY-GAS-08 | 8 saat | 5 yılda bir yenileme</w:t>
      </w:r>
    </w:p>
    <w:p>
      <w:pPr>
        <w:pStyle w:val="ListBullet"/>
      </w:pPr>
      <w:r>
        <w:rPr>
          <w:rFonts w:ascii="Calibri" w:hAnsi="Calibri" w:eastAsia="Calibri"/>
        </w:rPr>
        <w:t>Gemilerin tipi, yapısı, bölümleri, ana ve yardımcı makineleri ile teçhizatı.</w:t>
      </w:r>
    </w:p>
    <w:p>
      <w:pPr>
        <w:pStyle w:val="ListBullet"/>
      </w:pPr>
      <w:r>
        <w:rPr>
          <w:rFonts w:ascii="Calibri" w:hAnsi="Calibri" w:eastAsia="Calibri"/>
        </w:rPr>
        <w:t>Gemilerin periyodik bakım, kontrol, sürvey ve belgelendirilmesi.</w:t>
      </w:r>
    </w:p>
    <w:p>
      <w:pPr>
        <w:pStyle w:val="Heading2"/>
      </w:pPr>
      <w:r>
        <w:rPr>
          <w:rFonts w:ascii="Calibri" w:hAnsi="Calibri" w:eastAsia="Calibri"/>
          <w:i w:val="0"/>
        </w:rPr>
        <w:t>A.2 Gemilerin kiraya giriş-çıkış sürveyi</w:t>
      </w:r>
    </w:p>
    <w:p>
      <w:pPr>
        <w:pStyle w:val="SmallMetadata"/>
      </w:pPr>
      <w:r>
        <w:rPr>
          <w:rFonts w:ascii="Calibri" w:hAnsi="Calibri" w:eastAsia="Calibri"/>
          <w:i/>
        </w:rPr>
        <w:t>DGY-KGC-12 | 12 saat | 5 yılda bir yenileme</w:t>
      </w:r>
    </w:p>
    <w:p>
      <w:pPr>
        <w:pStyle w:val="ListBullet"/>
      </w:pPr>
      <w:r>
        <w:rPr>
          <w:rFonts w:ascii="Calibri" w:hAnsi="Calibri" w:eastAsia="Calibri"/>
        </w:rPr>
        <w:t>Gemi kiralama sözleşmeleri.</w:t>
      </w:r>
    </w:p>
    <w:p>
      <w:pPr>
        <w:pStyle w:val="ListBullet"/>
      </w:pPr>
      <w:r>
        <w:rPr>
          <w:rFonts w:ascii="Calibri" w:hAnsi="Calibri" w:eastAsia="Calibri"/>
        </w:rPr>
        <w:t>Gemilerin tipi, yapısı, bölümleri, ana ve yardımcı makineleri ile teçhizatı.</w:t>
      </w:r>
    </w:p>
    <w:p>
      <w:pPr>
        <w:pStyle w:val="ListBullet"/>
      </w:pPr>
      <w:r>
        <w:rPr>
          <w:rFonts w:ascii="Calibri" w:hAnsi="Calibri" w:eastAsia="Calibri"/>
        </w:rPr>
        <w:t>Gemilerin periyodik bakım, kontrol, sürvey ve belgelendirilmesi.</w:t>
      </w:r>
    </w:p>
    <w:p>
      <w:pPr>
        <w:pStyle w:val="ListBullet"/>
      </w:pPr>
      <w:r>
        <w:rPr>
          <w:rFonts w:ascii="Calibri" w:hAnsi="Calibri" w:eastAsia="Calibri"/>
        </w:rPr>
        <w:t>Gemi yakıt tankları ölçüm ve miktar hesaplama yöntemleri.</w:t>
      </w:r>
    </w:p>
    <w:p>
      <w:pPr>
        <w:pStyle w:val="Heading2"/>
      </w:pPr>
      <w:r>
        <w:rPr>
          <w:rFonts w:ascii="Calibri" w:hAnsi="Calibri" w:eastAsia="Calibri"/>
          <w:i w:val="0"/>
        </w:rPr>
        <w:t>A.3 Söküm sürveyi</w:t>
      </w:r>
    </w:p>
    <w:p>
      <w:pPr>
        <w:pStyle w:val="SmallMetadata"/>
      </w:pPr>
      <w:r>
        <w:rPr>
          <w:rFonts w:ascii="Calibri" w:hAnsi="Calibri" w:eastAsia="Calibri"/>
          <w:i/>
        </w:rPr>
        <w:t>DGY-SOK-08 | 8 saat | 5 yılda bir yenileme</w:t>
      </w:r>
    </w:p>
    <w:p>
      <w:pPr>
        <w:pStyle w:val="ListBullet"/>
      </w:pPr>
      <w:r>
        <w:rPr>
          <w:rFonts w:ascii="Calibri" w:hAnsi="Calibri" w:eastAsia="Calibri"/>
        </w:rPr>
        <w:t>Gemi söküm faaliyetleri ve mevzuatı.</w:t>
      </w:r>
    </w:p>
    <w:p>
      <w:pPr>
        <w:pStyle w:val="ListBullet"/>
      </w:pPr>
      <w:r>
        <w:rPr>
          <w:rFonts w:ascii="Calibri" w:hAnsi="Calibri" w:eastAsia="Calibri"/>
        </w:rPr>
        <w:t>Gemilerin söküme alınma prosedürü.</w:t>
      </w:r>
    </w:p>
    <w:p>
      <w:pPr>
        <w:pStyle w:val="Heading2"/>
      </w:pPr>
      <w:r>
        <w:rPr>
          <w:rFonts w:ascii="Calibri" w:hAnsi="Calibri" w:eastAsia="Calibri"/>
          <w:i w:val="0"/>
        </w:rPr>
        <w:t>A.4 Yük miktarı sürveyi</w:t>
      </w:r>
    </w:p>
    <w:p>
      <w:pPr>
        <w:pStyle w:val="SmallMetadata"/>
      </w:pPr>
      <w:r>
        <w:rPr>
          <w:rFonts w:ascii="Calibri" w:hAnsi="Calibri" w:eastAsia="Calibri"/>
          <w:i/>
        </w:rPr>
        <w:t>DGY-YMS-16 | 16 saat | 5 yılda bir yenileme</w:t>
      </w:r>
    </w:p>
    <w:p>
      <w:pPr>
        <w:pStyle w:val="ListBullet"/>
      </w:pPr>
      <w:r>
        <w:rPr>
          <w:rFonts w:ascii="Calibri" w:hAnsi="Calibri" w:eastAsia="Calibri"/>
        </w:rPr>
        <w:t>1966 Gemilerin Uluslararası Yükleme Sınırı Sözleşmesine göre gemilerin belgelendirilmesi.</w:t>
      </w:r>
    </w:p>
    <w:p>
      <w:pPr>
        <w:pStyle w:val="ListBullet"/>
      </w:pPr>
      <w:r>
        <w:rPr>
          <w:rFonts w:ascii="Calibri" w:hAnsi="Calibri" w:eastAsia="Calibri"/>
        </w:rPr>
        <w:t>Yükleme hatlarını belirleyen Plimsol markaları.</w:t>
      </w:r>
    </w:p>
    <w:p>
      <w:pPr>
        <w:pStyle w:val="ListBullet"/>
      </w:pPr>
      <w:r>
        <w:rPr>
          <w:rFonts w:ascii="Calibri" w:hAnsi="Calibri" w:eastAsia="Calibri"/>
        </w:rPr>
        <w:t>Su çekimini gösteren Draft markaları.</w:t>
      </w:r>
    </w:p>
    <w:p>
      <w:pPr>
        <w:pStyle w:val="ListBullet"/>
      </w:pPr>
      <w:r>
        <w:rPr>
          <w:rFonts w:ascii="Calibri" w:hAnsi="Calibri" w:eastAsia="Calibri"/>
        </w:rPr>
        <w:t>Yükleme hesaplamaları.</w:t>
      </w:r>
    </w:p>
    <w:p>
      <w:pPr>
        <w:pStyle w:val="ListBullet"/>
      </w:pPr>
      <w:r>
        <w:rPr>
          <w:rFonts w:ascii="Calibri" w:hAnsi="Calibri" w:eastAsia="Calibri"/>
        </w:rPr>
        <w:t>Yük evrakları.</w:t>
      </w:r>
    </w:p>
    <w:p>
      <w:pPr>
        <w:pStyle w:val="Heading2"/>
      </w:pPr>
      <w:r>
        <w:rPr>
          <w:rFonts w:ascii="Calibri" w:hAnsi="Calibri" w:eastAsia="Calibri"/>
          <w:i w:val="0"/>
        </w:rPr>
        <w:t>A.5 Yağ ve yakıt ölçümü sürveyi</w:t>
      </w:r>
    </w:p>
    <w:p>
      <w:pPr>
        <w:pStyle w:val="SmallMetadata"/>
      </w:pPr>
      <w:r>
        <w:rPr>
          <w:rFonts w:ascii="Calibri" w:hAnsi="Calibri" w:eastAsia="Calibri"/>
          <w:i/>
        </w:rPr>
        <w:t>DGY-YAK-08 | 8 saat | 5 yılda bir yenileme</w:t>
      </w:r>
    </w:p>
    <w:p>
      <w:pPr>
        <w:pStyle w:val="ListBullet"/>
      </w:pPr>
      <w:r>
        <w:rPr>
          <w:rFonts w:ascii="Calibri" w:hAnsi="Calibri" w:eastAsia="Calibri"/>
        </w:rPr>
        <w:t>Gemi yakıt tankları ölçüm ve miktar hesaplama yöntemleri.</w:t>
      </w:r>
    </w:p>
    <w:p>
      <w:pPr>
        <w:pStyle w:val="Heading2"/>
      </w:pPr>
      <w:r>
        <w:rPr>
          <w:rFonts w:ascii="Calibri" w:hAnsi="Calibri" w:eastAsia="Calibri"/>
          <w:i w:val="0"/>
        </w:rPr>
        <w:t>A.6 Gemi yükleme, boşaltma ve aktarma sürveyi</w:t>
      </w:r>
    </w:p>
    <w:p>
      <w:pPr>
        <w:pStyle w:val="SmallMetadata"/>
      </w:pPr>
      <w:r>
        <w:rPr>
          <w:rFonts w:ascii="Calibri" w:hAnsi="Calibri" w:eastAsia="Calibri"/>
          <w:i/>
        </w:rPr>
        <w:t>DGY-YBA-16 | 16 saat | 5 yılda bir yenileme</w:t>
      </w:r>
    </w:p>
    <w:p>
      <w:pPr>
        <w:pStyle w:val="ListBullet"/>
      </w:pPr>
      <w:r>
        <w:rPr>
          <w:rFonts w:ascii="Calibri" w:hAnsi="Calibri" w:eastAsia="Calibri"/>
        </w:rPr>
        <w:t>Kıyı tesislerinde liman işletmeciliği mevzuatı ve liman işletmeleri organizasyon yapısı.</w:t>
      </w:r>
    </w:p>
    <w:p>
      <w:pPr>
        <w:pStyle w:val="ListBullet"/>
      </w:pPr>
      <w:r>
        <w:rPr>
          <w:rFonts w:ascii="Calibri" w:hAnsi="Calibri" w:eastAsia="Calibri"/>
        </w:rPr>
        <w:t>Yüklerin tanımları ve çeşitleri.</w:t>
      </w:r>
    </w:p>
    <w:p>
      <w:pPr>
        <w:pStyle w:val="ListBullet"/>
      </w:pPr>
      <w:r>
        <w:rPr>
          <w:rFonts w:ascii="Calibri" w:hAnsi="Calibri" w:eastAsia="Calibri"/>
        </w:rPr>
        <w:t>Yük evrakları.</w:t>
      </w:r>
    </w:p>
    <w:p>
      <w:pPr>
        <w:pStyle w:val="ListBullet"/>
      </w:pPr>
      <w:r>
        <w:rPr>
          <w:rFonts w:ascii="Calibri" w:hAnsi="Calibri" w:eastAsia="Calibri"/>
        </w:rPr>
        <w:t>Paketli ve ambalajlı yüklerin işaretleme ve etiketlenmesi gereklilikleri.</w:t>
      </w:r>
    </w:p>
    <w:p>
      <w:pPr>
        <w:pStyle w:val="ListBullet"/>
      </w:pPr>
      <w:r>
        <w:rPr>
          <w:rFonts w:ascii="Calibri" w:hAnsi="Calibri" w:eastAsia="Calibri"/>
        </w:rPr>
        <w:t>Yük operasyonları ile yükleme/boşaltma ve depolama/istifleme prosedürleri.</w:t>
      </w:r>
    </w:p>
    <w:p>
      <w:pPr>
        <w:pStyle w:val="ListBullet"/>
      </w:pPr>
      <w:r>
        <w:rPr>
          <w:rFonts w:ascii="Calibri" w:hAnsi="Calibri" w:eastAsia="Calibri"/>
        </w:rPr>
        <w:t>Yük gözetimi kuralları.</w:t>
      </w:r>
    </w:p>
    <w:p>
      <w:pPr>
        <w:pStyle w:val="ListBullet"/>
      </w:pPr>
      <w:r>
        <w:rPr>
          <w:rFonts w:ascii="Calibri" w:hAnsi="Calibri" w:eastAsia="Calibri"/>
        </w:rPr>
        <w:t>Gemilerin liman tesislerine geliş, yanaşma ve ayrılmasında uygulanan mevzuat ve prosedürler.</w:t>
      </w:r>
    </w:p>
    <w:p>
      <w:pPr>
        <w:pStyle w:val="ListBullet"/>
      </w:pPr>
      <w:r>
        <w:rPr>
          <w:rFonts w:ascii="Calibri" w:hAnsi="Calibri" w:eastAsia="Calibri"/>
        </w:rPr>
        <w:t>Yükleme/tahliye öncesinde yapılan hazırlıklar.</w:t>
      </w:r>
    </w:p>
    <w:p>
      <w:pPr>
        <w:pStyle w:val="ListBullet"/>
      </w:pPr>
      <w:r>
        <w:rPr>
          <w:rFonts w:ascii="Calibri" w:hAnsi="Calibri" w:eastAsia="Calibri"/>
        </w:rPr>
        <w:t>Yükleme ve boşaltmada uyulacak kurallar ve prosedürler.</w:t>
      </w:r>
    </w:p>
    <w:p>
      <w:pPr>
        <w:pStyle w:val="Heading2"/>
      </w:pPr>
      <w:r>
        <w:rPr>
          <w:rFonts w:ascii="Calibri" w:hAnsi="Calibri" w:eastAsia="Calibri"/>
          <w:i w:val="0"/>
        </w:rPr>
        <w:t>A.7 Liman ve tank sahası sürveyi</w:t>
      </w:r>
    </w:p>
    <w:p>
      <w:pPr>
        <w:pStyle w:val="SmallMetadata"/>
      </w:pPr>
      <w:r>
        <w:rPr>
          <w:rFonts w:ascii="Calibri" w:hAnsi="Calibri" w:eastAsia="Calibri"/>
          <w:i/>
        </w:rPr>
        <w:t>DGY-LTS-08 | 8 saat | 5 yılda bir yenileme</w:t>
      </w:r>
    </w:p>
    <w:p>
      <w:pPr>
        <w:pStyle w:val="ListBullet"/>
      </w:pPr>
      <w:r>
        <w:rPr>
          <w:rFonts w:ascii="Calibri" w:hAnsi="Calibri" w:eastAsia="Calibri"/>
        </w:rPr>
        <w:t>Kıyı tesislerinde liman işletmeciliği mevzuatı ve liman işletmeleri organizasyon yapısı.</w:t>
      </w:r>
    </w:p>
    <w:p>
      <w:pPr>
        <w:pStyle w:val="ListBullet"/>
      </w:pPr>
      <w:r>
        <w:rPr>
          <w:rFonts w:ascii="Calibri" w:hAnsi="Calibri" w:eastAsia="Calibri"/>
        </w:rPr>
        <w:t>Yükleme/boşaltma ve depolama/istifleme prosedürleri.</w:t>
      </w:r>
    </w:p>
    <w:p>
      <w:pPr>
        <w:pStyle w:val="Heading2"/>
      </w:pPr>
      <w:r>
        <w:rPr>
          <w:rFonts w:ascii="Calibri" w:hAnsi="Calibri" w:eastAsia="Calibri"/>
          <w:i w:val="0"/>
        </w:rPr>
        <w:t>A.8 Liman sahası ve kıyı tesisinde konteyner stok kontrolü ve istif emniyeti sürveyi</w:t>
      </w:r>
    </w:p>
    <w:p>
      <w:pPr>
        <w:pStyle w:val="SmallMetadata"/>
      </w:pPr>
      <w:r>
        <w:rPr>
          <w:rFonts w:ascii="Calibri" w:hAnsi="Calibri" w:eastAsia="Calibri"/>
          <w:i/>
        </w:rPr>
        <w:t>DGY-KSI-08 | 8 saat | 5 yılda bir yenileme</w:t>
      </w:r>
    </w:p>
    <w:p>
      <w:pPr>
        <w:pStyle w:val="ListBullet"/>
      </w:pPr>
      <w:r>
        <w:rPr>
          <w:rFonts w:ascii="Calibri" w:hAnsi="Calibri" w:eastAsia="Calibri"/>
        </w:rPr>
        <w:t>Yüklerin tanımları ve çeşitleri.</w:t>
      </w:r>
    </w:p>
    <w:p>
      <w:pPr>
        <w:pStyle w:val="ListBullet"/>
      </w:pPr>
      <w:r>
        <w:rPr>
          <w:rFonts w:ascii="Calibri" w:hAnsi="Calibri" w:eastAsia="Calibri"/>
        </w:rPr>
        <w:t>Yük operasyonları.</w:t>
      </w:r>
    </w:p>
    <w:p>
      <w:pPr>
        <w:pStyle w:val="ListBullet"/>
      </w:pPr>
      <w:r>
        <w:rPr>
          <w:rFonts w:ascii="Calibri" w:hAnsi="Calibri" w:eastAsia="Calibri"/>
        </w:rPr>
        <w:t>Yükleme/boşaltma ve depolama/istifleme prosedürleri.</w:t>
      </w:r>
    </w:p>
    <w:p>
      <w:pPr>
        <w:pStyle w:val="ListBullet"/>
      </w:pPr>
      <w:r>
        <w:rPr>
          <w:rFonts w:ascii="Calibri" w:hAnsi="Calibri" w:eastAsia="Calibri"/>
        </w:rPr>
        <w:t>Yük gözetimi kuralları.</w:t>
      </w:r>
    </w:p>
    <w:p>
      <w:pPr>
        <w:pStyle w:val="Heading2"/>
      </w:pPr>
      <w:r>
        <w:rPr>
          <w:rFonts w:ascii="Calibri" w:hAnsi="Calibri" w:eastAsia="Calibri"/>
          <w:i w:val="0"/>
        </w:rPr>
        <w:t>A.9 Yükleme öncesi kontrol</w:t>
      </w:r>
    </w:p>
    <w:p>
      <w:pPr>
        <w:pStyle w:val="SmallMetadata"/>
      </w:pPr>
      <w:r>
        <w:rPr>
          <w:rFonts w:ascii="Calibri" w:hAnsi="Calibri" w:eastAsia="Calibri"/>
          <w:i/>
        </w:rPr>
        <w:t>DGY-YOK-08 | 8 saat | 5 yılda bir yenileme</w:t>
      </w:r>
    </w:p>
    <w:p>
      <w:pPr>
        <w:pStyle w:val="ListBullet"/>
      </w:pPr>
      <w:r>
        <w:rPr>
          <w:rFonts w:ascii="Calibri" w:hAnsi="Calibri" w:eastAsia="Calibri"/>
        </w:rPr>
        <w:t>Yüklerin tanımları ve çeşitleri.</w:t>
      </w:r>
    </w:p>
    <w:p>
      <w:pPr>
        <w:pStyle w:val="ListBullet"/>
      </w:pPr>
      <w:r>
        <w:rPr>
          <w:rFonts w:ascii="Calibri" w:hAnsi="Calibri" w:eastAsia="Calibri"/>
        </w:rPr>
        <w:t>Yükleme/tahliye öncesinde yapılan hazırlıklar.</w:t>
      </w:r>
    </w:p>
    <w:p>
      <w:pPr>
        <w:pStyle w:val="ListBullet"/>
      </w:pPr>
      <w:r>
        <w:rPr>
          <w:rFonts w:ascii="Calibri" w:hAnsi="Calibri" w:eastAsia="Calibri"/>
        </w:rPr>
        <w:t>Yükleme ve boşaltmada uyulacak kurallar ve prosedürler.</w:t>
      </w:r>
    </w:p>
    <w:p>
      <w:pPr>
        <w:spacing w:before="100" w:after="180" w:line="264" w:lineRule="auto"/>
        <w:ind w:left="115" w:right="115"/>
        <w:shd w:fill="E8EEF5"/>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Yazılım Kuralı: </w:t>
      </w:r>
      <w:r>
        <w:rPr>
          <w:rFonts w:ascii="Calibri" w:hAnsi="Calibri" w:eastAsia="Calibri"/>
        </w:rPr>
        <w:t>Program oluşturulurken seçilen hizmet alanının bütün konu satırları ve toplam süresi otomatik gelmelidir. Resmî Ek-3 konu başlıklarında konu bazlı saat dağılımı verilmediği için sistem saat dağılımını zorunlu olarak uydurmamalı; yalnız toplam süreyi hard block ile doğrulamalı ve kurumun ders planını ayrıca saklamalıdır.</w:t>
      </w:r>
    </w:p>
    <w:p>
      <w:pPr>
        <w:pStyle w:val="TableCitation"/>
      </w:pPr>
      <w:r>
        <w:rPr>
          <w:rFonts w:ascii="Calibri" w:hAnsi="Calibri" w:eastAsia="Calibri"/>
          <w:i/>
          <w:color w:val="667085"/>
          <w:sz w:val="18"/>
        </w:rPr>
        <w:t>Kaynak: Deniz Ticareti Gözetim Hizmetleri Uygulama Yönergesi Ek-3. Eğitim muafiyetleri diploma türü ve kanıt belgesiyle ayrıca değerlendirilir.</w:t>
      </w:r>
      <w:r>
        <w:t xml:space="preserve"> </w:t>
      </w:r>
      <w:hyperlink r:id="rId11">
        <w:r>
          <w:rPr>
            <w:color w:val="2E74B5"/>
            <w:u w:val="single"/>
            <w:rFonts w:ascii="Calibri" w:hAnsi="Calibri"/>
          </w:rPr>
          <w:t>Resmî kaynak</w:t>
        </w:r>
      </w:hyperlink>
    </w:p>
    <w:p>
      <w:pPr>
        <w:pStyle w:val="Heading1"/>
        <w:keepNext/>
        <w:keepLines/>
      </w:pPr>
      <w:r>
        <w:t>Ek B - IMDG Kod Görev Bazlı Eğitim Seminerleri</w:t>
      </w:r>
    </w:p>
    <w:p>
      <w:r>
        <w:rPr>
          <w:rFonts w:ascii="Calibri" w:hAnsi="Calibri" w:eastAsia="Calibri"/>
          <w:i w:val="0"/>
        </w:rPr>
        <w:t>IMDG Kod görev eğitimlerinin tamamı genel farkındalık, göreve yönelik eğitim ve emniyet bileşenlerinden oluşur. Yenileme; ilgili satırın geçerlilik kuralına göre uluslararası mevzuat güncellemelerini kapsar. Resmî program bildirimi yapılırken on üç görevden uygulanacak satır seçilir.</w:t>
      </w:r>
    </w:p>
    <w:tbl>
      <w:tblPr>
        <w:tblStyle w:val="TableGrid"/>
        <w:tblW w:type="dxa" w:w="9360"/>
        <w:jc w:val="left"/>
        <w:tblLayout w:type="fixed"/>
        <w:tblLook w:firstColumn="1" w:firstRow="1" w:lastColumn="0" w:lastRow="0" w:noHBand="0" w:noVBand="1" w:val="04A0"/>
        <w:tblInd w:type="dxa" w:w="120"/>
      </w:tblPr>
      <w:tblGrid>
        <w:gridCol w:w="504"/>
        <w:gridCol w:w="3168"/>
        <w:gridCol w:w="720"/>
        <w:gridCol w:w="792"/>
        <w:gridCol w:w="1080"/>
        <w:gridCol w:w="3096"/>
      </w:tblGrid>
      <w:tr>
        <w:trPr>
          <w:tblHeader w:val="true"/>
          <w:cantSplit w:val="true"/>
        </w:trPr>
        <w:tc>
          <w:tcPr>
            <w:tcW w:type="dxa" w:w="50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No</w:t>
            </w:r>
          </w:p>
        </w:tc>
        <w:tc>
          <w:tcPr>
            <w:tcW w:type="dxa" w:w="3168"/>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Görev</w:t>
            </w:r>
          </w:p>
        </w:tc>
        <w:tc>
          <w:tcPr>
            <w:tcW w:type="dxa" w:w="72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İlk</w:t>
            </w:r>
          </w:p>
        </w:tc>
        <w:tc>
          <w:tcPr>
            <w:tcW w:type="dxa" w:w="792"/>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Yen.</w:t>
            </w:r>
          </w:p>
        </w:tc>
        <w:tc>
          <w:tcPr>
            <w:tcW w:type="dxa" w:w="1080"/>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Periyot</w:t>
            </w:r>
          </w:p>
        </w:tc>
        <w:tc>
          <w:tcPr>
            <w:tcW w:type="dxa" w:w="309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5"/>
              </w:rPr>
              <w:t>Özel Kural</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Sınıflandırma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IMDG sınıflandırma görev müfredatı</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Paketleme</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Paketleme ve ilgili IMDG hükümleri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3</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İşaretleme, etiketleme, plakartlandırma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İşaret/etiket/plakart görev müfredatı</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Yük taşıma birimlerinin yüklenmesi/boşaltılması</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CTU Kod bileşeni; 2 ve 3’ü kapsar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5</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Taşıma belgelerinin hazırlanması</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Belge hazırlama görev müfredatı</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6</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Taşıma için arz veya kabul</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20</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Arz/kabul ve uygunluk kontrolleri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7</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Elleçleme sırasında taşıma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4</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Elleçleme içi taşıma; sürücü için SRC-5 alternatifi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Yükleme/istif planlarının hazırlanması</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24</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Planlama; 5 ve 6’yı kapsar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9</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Gemilerden yükleme/boşaltma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Gemi operasyonu; 7’yi kapsar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10</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Gözetim</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16</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Paketli tehlikeli yüklere yönelik gözetim</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11</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Tartı aleti operatörü</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5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CTU Kod; tehlikeli yük durumunda görev 4 uygulanır</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Fumigasyon/gazdan arındırma</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8</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5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IMDG 5.5.2 ve ilgili IMO emniyet tavsiyeleri</w:t>
            </w:r>
          </w:p>
        </w:tc>
      </w:tr>
      <w:tr>
        <w:trPr>
          <w:cantSplit w:val="true"/>
        </w:trPr>
        <w:tc>
          <w:tcPr>
            <w:tcW w:type="dxa" w:w="50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13</w:t>
            </w:r>
          </w:p>
        </w:tc>
        <w:tc>
          <w:tcPr>
            <w:tcW w:type="dxa" w:w="3168"/>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Kategori 1</w:t>
            </w:r>
          </w:p>
        </w:tc>
        <w:tc>
          <w:tcPr>
            <w:tcW w:type="dxa" w:w="72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20</w:t>
            </w:r>
          </w:p>
        </w:tc>
        <w:tc>
          <w:tcPr>
            <w:tcW w:type="dxa" w:w="792"/>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12</w:t>
            </w:r>
          </w:p>
        </w:tc>
        <w:tc>
          <w:tcPr>
            <w:tcW w:type="dxa" w:w="1080"/>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val="0"/>
                <w:sz w:val="15"/>
              </w:rPr>
              <w:t>2 yıl</w:t>
            </w:r>
          </w:p>
        </w:tc>
        <w:tc>
          <w:tcPr>
            <w:tcW w:type="dxa" w:w="309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5"/>
              </w:rPr>
              <w:t>Konteyner elleçleme + konteyner iç yükleme birleşik eğitimi</w:t>
            </w:r>
          </w:p>
        </w:tc>
      </w:tr>
    </w:tbl>
    <w:p>
      <w:pPr>
        <w:spacing w:after="40"/>
      </w:pPr>
    </w:p>
    <w:p>
      <w:pPr>
        <w:pStyle w:val="Heading2"/>
      </w:pPr>
      <w:r>
        <w:rPr>
          <w:rFonts w:ascii="Calibri" w:hAnsi="Calibri" w:eastAsia="Calibri"/>
          <w:i w:val="0"/>
        </w:rPr>
        <w:t>B.1 Müfredat matrisinde tutulacak bileşenler</w:t>
      </w:r>
    </w:p>
    <w:p>
      <w:pPr>
        <w:pStyle w:val="ListBullet"/>
      </w:pPr>
      <w:r>
        <w:rPr>
          <w:rFonts w:ascii="Calibri" w:hAnsi="Calibri" w:eastAsia="Calibri"/>
        </w:rPr>
        <w:t>Giriş ve IMDG Kod Kısım/Alt Bölümleri: 1, 2, 2.0, 3, 4, 5, 6, 6¹ ve 7.1-7.9.</w:t>
      </w:r>
    </w:p>
    <w:p>
      <w:pPr>
        <w:pStyle w:val="ListBullet"/>
      </w:pPr>
      <w:r>
        <w:rPr>
          <w:rFonts w:ascii="Calibri" w:hAnsi="Calibri" w:eastAsia="Calibri"/>
        </w:rPr>
        <w:t>SOLAS Bölüm II-2/19, liman mevzuatı ve ulusal taşıma düzenlemeleri.</w:t>
      </w:r>
    </w:p>
    <w:p>
      <w:pPr>
        <w:pStyle w:val="ListBullet"/>
      </w:pPr>
      <w:r>
        <w:rPr>
          <w:rFonts w:ascii="Calibri" w:hAnsi="Calibri" w:eastAsia="Calibri"/>
        </w:rPr>
        <w:t>CSC Sözleşmesi ve görev satırına göre CTU Kod bileşeni.</w:t>
      </w:r>
    </w:p>
    <w:p>
      <w:pPr>
        <w:pStyle w:val="ListBullet"/>
      </w:pPr>
      <w:r>
        <w:rPr>
          <w:rFonts w:ascii="Calibri" w:hAnsi="Calibri" w:eastAsia="Calibri"/>
        </w:rPr>
        <w:t>Acil durum prosedürleri, ilk yardım önlemleri ve emniyetli elleçleme prosedürleri.</w:t>
      </w:r>
    </w:p>
    <w:p>
      <w:pPr>
        <w:pStyle w:val="ListBullet"/>
      </w:pPr>
      <w:r>
        <w:rPr>
          <w:rFonts w:ascii="Calibri" w:hAnsi="Calibri" w:eastAsia="Calibri"/>
        </w:rPr>
        <w:t>Sınav süresi ile ilk eğitim ve yenileme toplam saatleri.</w:t>
      </w:r>
    </w:p>
    <w:p>
      <w:pPr>
        <w:pStyle w:val="ListBullet"/>
      </w:pPr>
      <w:r>
        <w:rPr>
          <w:rFonts w:ascii="Calibri" w:hAnsi="Calibri" w:eastAsia="Calibri"/>
        </w:rPr>
        <w:t>Her hücre için kaynak yönerge sürümü, ek/satır/sütun referansı ve yürürlük tarihi.</w:t>
      </w:r>
    </w:p>
    <w:p>
      <w:pPr>
        <w:pStyle w:val="Heading2"/>
      </w:pPr>
      <w:r>
        <w:rPr>
          <w:rFonts w:ascii="Calibri" w:hAnsi="Calibri" w:eastAsia="Calibri"/>
          <w:i w:val="0"/>
        </w:rPr>
        <w:t>B.2 Görev ve kapsama kuralları</w:t>
      </w:r>
    </w:p>
    <w:p>
      <w:pPr>
        <w:pStyle w:val="ListBullet"/>
      </w:pPr>
      <w:r>
        <w:rPr>
          <w:rFonts w:ascii="Calibri" w:hAnsi="Calibri" w:eastAsia="Calibri"/>
        </w:rPr>
        <w:t>Görev 4 eğitimini alanlar görev 2 ve 3 eğitimlerini de almış sayılır.</w:t>
      </w:r>
    </w:p>
    <w:p>
      <w:pPr>
        <w:pStyle w:val="ListBullet"/>
      </w:pPr>
      <w:r>
        <w:rPr>
          <w:rFonts w:ascii="Calibri" w:hAnsi="Calibri" w:eastAsia="Calibri"/>
        </w:rPr>
        <w:t>Görev 9 eğitimini alanlar görev 7 eğitimini de almış sayılır.</w:t>
      </w:r>
    </w:p>
    <w:p>
      <w:pPr>
        <w:pStyle w:val="ListBullet"/>
      </w:pPr>
      <w:r>
        <w:rPr>
          <w:rFonts w:ascii="Calibri" w:hAnsi="Calibri" w:eastAsia="Calibri"/>
        </w:rPr>
        <w:t>Görev 8 eğitimini alanlar görev 5 ve 6 eğitimlerini de almış sayılır.</w:t>
      </w:r>
    </w:p>
    <w:p>
      <w:pPr>
        <w:pStyle w:val="ListBullet"/>
      </w:pPr>
      <w:r>
        <w:rPr>
          <w:rFonts w:ascii="Calibri" w:hAnsi="Calibri" w:eastAsia="Calibri"/>
        </w:rPr>
        <w:t>Görev 4 ve 11 için CTU Kod eğitmeni; görev 12 için fumigasyon ve gazdan arındırma eğitmeni kontrolü yapılır.</w:t>
      </w:r>
    </w:p>
    <w:p>
      <w:pPr>
        <w:pStyle w:val="ListBullet"/>
      </w:pPr>
      <w:r>
        <w:rPr>
          <w:rFonts w:ascii="Calibri" w:hAnsi="Calibri" w:eastAsia="Calibri"/>
        </w:rPr>
        <w:t>Görev 11 ve 12 beş yılda bir tekrar edilir; diğer görev satırlarında iki yıllık yenileme ve tabloda belirtilen yenileme saati uygulanır.</w:t>
      </w:r>
    </w:p>
    <w:p>
      <w:pPr>
        <w:pStyle w:val="ListBullet"/>
      </w:pPr>
      <w:r>
        <w:rPr>
          <w:rFonts w:ascii="Calibri" w:hAnsi="Calibri" w:eastAsia="Calibri"/>
        </w:rPr>
        <w:t>Sertifikada verilen görevle birlikte kapsanan diğer görev alanları da gösterilir.</w:t>
      </w:r>
    </w:p>
    <w:p>
      <w:pPr>
        <w:pStyle w:val="ListBullet"/>
      </w:pPr>
      <w:r>
        <w:rPr>
          <w:rFonts w:ascii="Calibri" w:hAnsi="Calibri" w:eastAsia="Calibri"/>
        </w:rPr>
        <w:t>Yeni personelin üç aylık eğitim son tarihi ve bu sürede yalnız eğitimli personel yanında çalışma kısıtı izlenir.</w:t>
      </w:r>
    </w:p>
    <w:p>
      <w:pPr>
        <w:pStyle w:val="ListBullet"/>
      </w:pPr>
      <w:r>
        <w:rPr>
          <w:rFonts w:ascii="Calibri" w:hAnsi="Calibri" w:eastAsia="Calibri"/>
        </w:rPr>
        <w:t>Gece vardiyası sonrası sabah eğitimi engellenir; dinlenme süresi sonrasındaki programlara izin verilir.</w:t>
      </w:r>
    </w:p>
    <w:p>
      <w:pPr>
        <w:pStyle w:val="ListBullet"/>
      </w:pPr>
      <w:r>
        <w:rPr>
          <w:rFonts w:ascii="Calibri" w:hAnsi="Calibri" w:eastAsia="Calibri"/>
        </w:rPr>
        <w:t>Kıyı tesisi eğitim planı, varsa tesis TMGD’siyle koordinasyon kaydı taşır.</w:t>
      </w:r>
    </w:p>
    <w:p>
      <w:pPr>
        <w:spacing w:before="100" w:after="180" w:line="264" w:lineRule="auto"/>
        <w:ind w:left="115" w:right="115"/>
        <w:shd w:fill="FFF8E8"/>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Kaynak Sürüm Kontrolü: </w:t>
      </w:r>
      <w:r>
        <w:rPr>
          <w:rFonts w:ascii="Calibri" w:hAnsi="Calibri" w:eastAsia="Calibri"/>
        </w:rPr>
        <w:t>Ekli 26.07.2019 tarihli yönerge ayrı bir mevzuat sürümü olarak saklanmalıdır. Canlıya geçişte güncel ve değişiklikleri işlenmiş resmî nüsha yeniden doğrulanmadan bu matris üretim kuralı olarak yayımlanmamalıdır.</w:t>
      </w:r>
    </w:p>
    <w:p>
      <w:pPr>
        <w:pStyle w:val="TableCitation"/>
      </w:pPr>
      <w:r>
        <w:rPr>
          <w:rFonts w:ascii="Calibri" w:hAnsi="Calibri" w:eastAsia="Calibri"/>
          <w:i/>
          <w:color w:val="667085"/>
          <w:sz w:val="18"/>
        </w:rPr>
        <w:t>Kaynak: IMDG Kod Eğitim Seminerlerine İlişkin Yönerge, görev/saat matrisi ve tablo açıklamaları.</w:t>
      </w:r>
      <w:r>
        <w:t xml:space="preserve"> </w:t>
      </w:r>
      <w:hyperlink r:id="rId13">
        <w:r>
          <w:rPr>
            <w:color w:val="2E74B5"/>
            <w:u w:val="single"/>
            <w:rFonts w:ascii="Calibri" w:hAnsi="Calibri"/>
          </w:rPr>
          <w:t>Resmî kaynak</w:t>
        </w:r>
      </w:hyperlink>
    </w:p>
    <w:p>
      <w:pPr>
        <w:pStyle w:val="Heading1"/>
        <w:keepNext/>
        <w:keepLines/>
      </w:pPr>
      <w:r>
        <w:t>Ek C - Asgari Alan Sözlüğü</w:t>
      </w:r>
    </w:p>
    <w:tbl>
      <w:tblPr>
        <w:tblStyle w:val="TableGrid"/>
        <w:tblW w:type="dxa" w:w="9360"/>
        <w:jc w:val="left"/>
        <w:tblLayout w:type="fixed"/>
        <w:tblLook w:firstColumn="1" w:firstRow="1" w:lastColumn="0" w:lastRow="0" w:noHBand="0" w:noVBand="1" w:val="04A0"/>
        <w:tblInd w:type="dxa" w:w="120"/>
      </w:tblPr>
      <w:tblGrid>
        <w:gridCol w:w="2016"/>
        <w:gridCol w:w="7344"/>
      </w:tblGrid>
      <w:tr>
        <w:trPr>
          <w:tblHeader w:val="true"/>
          <w:cantSplit w:val="true"/>
        </w:trPr>
        <w:tc>
          <w:tcPr>
            <w:tcW w:type="dxa" w:w="2016"/>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Varlık</w:t>
            </w:r>
          </w:p>
        </w:tc>
        <w:tc>
          <w:tcPr>
            <w:tcW w:type="dxa" w:w="7344"/>
            <w:shd w:fill="F2F4F7"/>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center"/>
            </w:pPr>
            <w:r>
              <w:rPr>
                <w:rFonts w:ascii="Calibri" w:hAnsi="Calibri" w:eastAsia="Calibri"/>
                <w:b/>
                <w:color w:val="0B2545"/>
                <w:sz w:val="17"/>
              </w:rPr>
              <w:t>Asgari Alanlar</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Kişi</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TCKN, ad, soyad, telefon, e-posta, doğum bilgisi, kimlik/fotoğraf kanıtı</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İstihdam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Firma, şube, başlangıç, bitiş, SGK kayıt türü, belge, durum</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Eğitim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İç kod, resmî ad, hizmet/görev, ilk/yenileme, toplam süre, sınav, kapasite, kaynak sürümü</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Müfredat</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Eğitim, sıra, konu, süre/süre payı, zorunluluk, kaynak ek-satır-sütun ve yürürlük</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Kapsama Kuralı</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Üst eğitim, kapsanan görev/eğitim, koşul, yürürlük, sertifikada gösterim</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Eğitmen</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Yetki konusu, belge no, veren kurum, başlangıç/bitiş, diploma/ehliyet</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Program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Tarih, saat, yer, salon, eğitmen, kontenjan, durum, onay</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Katılım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İlk/yenileme, uygunluk, devam, sınav, belge, firma ödeme durumu</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e-İşlem</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Kanal, tür, sorumlu, son tarih, başvuru no, kanıt, durum, sonuç</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Belge</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Tür, no, sürüm, düzenlenme, geçerlilik, iptal/revizyon, saklama</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Teklif</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Firma, eğitim, kişi, birim fiyat, gider, iskonto, vergi, geçerlilik, onay</w:t>
            </w:r>
          </w:p>
        </w:tc>
      </w:tr>
      <w:tr>
        <w:trPr>
          <w:cantSplit w:val="true"/>
        </w:trPr>
        <w:tc>
          <w:tcPr>
            <w:tcW w:type="dxa" w:w="2016"/>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sz w:val="17"/>
              </w:rPr>
              <w:t>Audit</w:t>
            </w:r>
          </w:p>
        </w:tc>
        <w:tc>
          <w:tcPr>
            <w:tcW w:type="dxa" w:w="7344"/>
            <w:tcBorders>
              <w:top w:val="single" w:sz="6" w:space="0" w:color="D0D5DD"/>
              <w:left w:val="single" w:sz="6" w:space="0" w:color="D0D5DD"/>
              <w:bottom w:val="single" w:sz="6" w:space="0" w:color="D0D5DD"/>
              <w:right w:val="single" w:sz="6" w:space="0" w:color="D0D5DD"/>
              <w:insideH w:val="single" w:sz="6" w:space="0" w:color="D0D5DD"/>
              <w:insideV w:val="single" w:sz="6" w:space="0" w:color="D0D5DD"/>
            </w:tcBorders>
            <w:vAlign w:val="center"/>
            <w:tcMar>
              <w:top w:w="90" w:type="dxa"/>
              <w:bottom w:w="90" w:type="dxa"/>
              <w:start w:w="120" w:type="dxa"/>
              <w:end w:w="120" w:type="dxa"/>
            </w:tcMar>
          </w:tcPr>
          <w:p>
            <w:pPr>
              <w:spacing w:after="0" w:line="252" w:lineRule="auto"/>
              <w:jc w:val="left"/>
            </w:pPr>
            <w:r>
              <w:rPr>
                <w:rFonts w:ascii="Calibri" w:hAnsi="Calibri" w:eastAsia="Calibri"/>
                <w:b w:val="0"/>
                <w:sz w:val="17"/>
              </w:rPr>
              <w:t>Kullanıcı, tenant, eylem, nesne, önce/sonra, IP, zaman, korelasyon</w:t>
            </w:r>
          </w:p>
        </w:tc>
      </w:tr>
    </w:tbl>
    <w:p>
      <w:pPr>
        <w:spacing w:after="40"/>
      </w:pPr>
    </w:p>
    <w:p>
      <w:pPr>
        <w:pStyle w:val="Heading1"/>
        <w:keepNext/>
        <w:keepLines/>
      </w:pPr>
      <w:r>
        <w:t>Ek D - Kaynaklar ve Referanslar</w:t>
      </w:r>
    </w:p>
    <w:p>
      <w:pPr>
        <w:pStyle w:val="ListBullet"/>
      </w:pPr>
      <w:r>
        <w:rPr>
          <w:rFonts w:ascii="Calibri" w:hAnsi="Calibri" w:eastAsia="Calibri"/>
        </w:rPr>
        <w:t>3E Academy - SaaS Platformu, Detaylı Teknik Gereksinim Dokümanı (PRD), v2</w:t>
      </w:r>
    </w:p>
    <w:p>
      <w:pPr>
        <w:pStyle w:val="ListBullet"/>
      </w:pPr>
      <w:hyperlink r:id="rId11">
        <w:r>
          <w:rPr>
            <w:color w:val="2E74B5"/>
            <w:u w:val="single"/>
            <w:rFonts w:ascii="Calibri" w:hAnsi="Calibri"/>
          </w:rPr>
          <w:t>Deniz Ticareti Gözetim Hizmetleri Uygulama Yönergesi</w:t>
        </w:r>
      </w:hyperlink>
    </w:p>
    <w:p>
      <w:pPr>
        <w:pStyle w:val="ListBullet"/>
      </w:pPr>
      <w:hyperlink r:id="rId12">
        <w:r>
          <w:rPr>
            <w:color w:val="2E74B5"/>
            <w:u w:val="single"/>
            <w:rFonts w:ascii="Calibri" w:hAnsi="Calibri"/>
          </w:rPr>
          <w:t>Tehlikeli Yüklere İlişkin Deniz Ticareti Gözetim Hizmeti Yönergesi - değişikliklerin işlendiği nüsha</w:t>
        </w:r>
      </w:hyperlink>
    </w:p>
    <w:p>
      <w:pPr>
        <w:pStyle w:val="ListBullet"/>
      </w:pPr>
      <w:hyperlink r:id="rId13">
        <w:r>
          <w:rPr>
            <w:color w:val="2E74B5"/>
            <w:u w:val="single"/>
            <w:rFonts w:ascii="Calibri" w:hAnsi="Calibri"/>
          </w:rPr>
          <w:t>IMDG Kod Eğitim Seminerlerine İlişkin Yönerge</w:t>
        </w:r>
      </w:hyperlink>
    </w:p>
    <w:p>
      <w:pPr>
        <w:pStyle w:val="ListBullet"/>
      </w:pPr>
      <w:hyperlink r:id="rId15">
        <w:r>
          <w:rPr>
            <w:color w:val="2E74B5"/>
            <w:u w:val="single"/>
            <w:rFonts w:ascii="Calibri" w:hAnsi="Calibri"/>
          </w:rPr>
          <w:t>UAB Deniz Ticareti Gözetim Hizmetleri çevrim içi işlemler sayfası</w:t>
        </w:r>
      </w:hyperlink>
    </w:p>
    <w:p>
      <w:pPr>
        <w:pStyle w:val="ListBullet"/>
      </w:pPr>
      <w:hyperlink r:id="rId16">
        <w:r>
          <w:rPr>
            <w:color w:val="2E74B5"/>
            <w:u w:val="single"/>
            <w:rFonts w:ascii="Calibri" w:hAnsi="Calibri"/>
          </w:rPr>
          <w:t>KVKK Kişisel Veri Güvenliği Rehberi (Teknik ve İdari Tedbirler)</w:t>
        </w:r>
      </w:hyperlink>
    </w:p>
    <w:p>
      <w:pPr>
        <w:pStyle w:val="ListBullet"/>
      </w:pPr>
      <w:hyperlink r:id="rId17">
        <w:r>
          <w:rPr>
            <w:color w:val="2E74B5"/>
            <w:u w:val="single"/>
            <w:rFonts w:ascii="Calibri" w:hAnsi="Calibri"/>
          </w:rPr>
          <w:t>KVKK Yurt Dışına Aktarım</w:t>
        </w:r>
      </w:hyperlink>
    </w:p>
    <w:p>
      <w:pPr>
        <w:spacing w:before="100" w:after="180" w:line="264" w:lineRule="auto"/>
        <w:ind w:left="115" w:right="115"/>
        <w:shd w:fill="FFF8E8"/>
        <w:pBdr>
          <w:top w:val="single" w:sz="6" w:space="5" w:color="D0D5DD"/>
          <w:left w:val="single" w:sz="6" w:space="5" w:color="D0D5DD"/>
          <w:bottom w:val="single" w:sz="6" w:space="5" w:color="D0D5DD"/>
          <w:right w:val="single" w:sz="6" w:space="5" w:color="D0D5DD"/>
        </w:pBdr>
      </w:pPr>
      <w:r>
        <w:rPr>
          <w:rFonts w:ascii="Calibri" w:hAnsi="Calibri" w:eastAsia="Calibri"/>
          <w:b/>
          <w:color w:val="0B2545"/>
        </w:rPr>
        <w:t xml:space="preserve">Uygulama Notu: </w:t>
      </w:r>
      <w:r>
        <w:rPr>
          <w:rFonts w:ascii="Calibri" w:hAnsi="Calibri" w:eastAsia="Calibri"/>
        </w:rPr>
        <w:t>Canlıya geçiş öncesinde resmî mevzuat ve kurum uygulamaları yeniden doğrulanmalı; bu proje dosyasındaki kural tabanı hukuk/alan sorumlusu onayı olmadan üretim kuralı olarak yayımlanmamalıdır.</w:t>
      </w:r>
    </w:p>
    <w:p>
      <w:pPr>
        <w:pStyle w:val="Heading1"/>
        <w:pageBreakBefore/>
        <w:keepNext/>
        <w:keepLines/>
      </w:pPr>
      <w:r>
        <w:t>Ek E - Karar Bekleyen Sorular (PRD v2’den)</w:t>
      </w:r>
    </w:p>
    <w:p>
      <w:r>
        <w:rPr>
          <w:rFonts w:ascii="Calibri" w:hAnsi="Calibri" w:eastAsia="Calibri"/>
          <w:i w:val="0"/>
        </w:rPr>
        <w:t>Aşağıdaki sorular kaynak PRD’de açık karar başlıkları olarak yer almaktadır. Kararlar; ürün sahibi, alan sorumlusu ve teknik ekip tarafından “karar, gerekçe, tarih, sorumlu ve faz” alanlarıyla kayıt altına alınmalıdır.</w:t>
      </w:r>
    </w:p>
    <w:p>
      <w:pPr>
        <w:pStyle w:val="Heading2"/>
      </w:pPr>
      <w:r>
        <w:t>Fiyatlandırma ve Teklif Mantığı</w:t>
      </w:r>
    </w:p>
    <w:p>
      <w:pPr>
        <w:pStyle w:val="ListNumber"/>
        <w:numPr>
          <w:ilvl w:val="0"/>
          <w:numId w:val="12"/>
        </w:numPr>
      </w:pPr>
      <w:r>
        <w:rPr>
          <w:rFonts w:ascii="Calibri" w:hAnsi="Calibri" w:eastAsia="Calibri"/>
        </w:rPr>
        <w:t>Teklif oluşturulurken kullanılacak fiyatlar sistemde sabit midir?</w:t>
      </w:r>
    </w:p>
    <w:p>
      <w:pPr>
        <w:pStyle w:val="ListNumber"/>
        <w:numPr>
          <w:ilvl w:val="0"/>
          <w:numId w:val="12"/>
        </w:numPr>
      </w:pPr>
      <w:r>
        <w:rPr>
          <w:rFonts w:ascii="Calibri" w:hAnsi="Calibri" w:eastAsia="Calibri"/>
        </w:rPr>
        <w:t>Fiyat, katılımcı sayısına göre kademeli mi değişir (örn. 10+ kişide indirim)?</w:t>
      </w:r>
    </w:p>
    <w:p>
      <w:pPr>
        <w:pStyle w:val="ListNumber"/>
        <w:numPr>
          <w:ilvl w:val="0"/>
          <w:numId w:val="12"/>
        </w:numPr>
      </w:pPr>
      <w:r>
        <w:rPr>
          <w:rFonts w:ascii="Calibri" w:hAnsi="Calibri" w:eastAsia="Calibri"/>
        </w:rPr>
        <w:t>Fiyat, eğitim yerine göre mi değişir (Kurum İçi / Samsun vb. lokasyona göre ulaşım/konaklama maliyeti eklenecek mi)?</w:t>
      </w:r>
    </w:p>
    <w:p>
      <w:pPr>
        <w:pStyle w:val="ListNumber"/>
        <w:numPr>
          <w:ilvl w:val="0"/>
          <w:numId w:val="12"/>
        </w:numPr>
      </w:pPr>
      <w:r>
        <w:rPr>
          <w:rFonts w:ascii="Calibri" w:hAnsi="Calibri" w:eastAsia="Calibri"/>
        </w:rPr>
        <w:t>Her teklifte fiyatı manuel olarak yönetici mi girecek, yoksa tam otomatik bir algoritma mı kurulacak?</w:t>
      </w:r>
    </w:p>
    <w:p>
      <w:pPr>
        <w:pStyle w:val="ListNumber"/>
        <w:numPr>
          <w:ilvl w:val="0"/>
          <w:numId w:val="12"/>
        </w:numPr>
      </w:pPr>
      <w:r>
        <w:rPr>
          <w:rFonts w:ascii="Calibri" w:hAnsi="Calibri" w:eastAsia="Calibri"/>
        </w:rPr>
        <w:t>Firma bazlı özel/sabit fiyat anlaşmaları (kontrat fiyatı) tanımlanabilecek mi?</w:t>
      </w:r>
    </w:p>
    <w:p>
      <w:pPr>
        <w:pStyle w:val="ListNumber"/>
        <w:numPr>
          <w:ilvl w:val="0"/>
          <w:numId w:val="12"/>
        </w:numPr>
      </w:pPr>
      <w:r>
        <w:rPr>
          <w:rFonts w:ascii="Calibri" w:hAnsi="Calibri" w:eastAsia="Calibri"/>
        </w:rPr>
        <w:t>Teklife iskonto/kupon uygulanabilecek mi, uygulanırsa onay mekanizması kim tarafından yürütülecek?</w:t>
      </w:r>
    </w:p>
    <w:p>
      <w:pPr>
        <w:pStyle w:val="ListNumber"/>
        <w:numPr>
          <w:ilvl w:val="0"/>
          <w:numId w:val="12"/>
        </w:numPr>
      </w:pPr>
      <w:r>
        <w:rPr>
          <w:rFonts w:ascii="Calibri" w:hAnsi="Calibri" w:eastAsia="Calibri"/>
        </w:rPr>
        <w:t>Teklifler için bir geçerlilik süresi (örn. teklif 15 gün geçerlidir) olacak mı ve süresi dolan teklifler otomatik "expired" işaretlenecek mi?</w:t>
      </w:r>
    </w:p>
    <w:p>
      <w:pPr>
        <w:pStyle w:val="ListNumber"/>
        <w:numPr>
          <w:ilvl w:val="0"/>
          <w:numId w:val="12"/>
        </w:numPr>
      </w:pPr>
      <w:r>
        <w:rPr>
          <w:rFonts w:ascii="Calibri" w:hAnsi="Calibri" w:eastAsia="Calibri"/>
        </w:rPr>
        <w:t>Teklif firma tarafından "kabul edildi" olarak işaretlendiğinde otomatik olarak sınıf/katılımcı kaydına mı dönüşecek?</w:t>
      </w:r>
    </w:p>
    <w:p>
      <w:pPr>
        <w:pStyle w:val="Heading2"/>
      </w:pPr>
      <w:r>
        <w:t>e-Devlet Entegrasyonu (API vs. Manuel)</w:t>
      </w:r>
    </w:p>
    <w:p>
      <w:pPr>
        <w:pStyle w:val="ListNumber"/>
        <w:numPr>
          <w:ilvl w:val="0"/>
          <w:numId w:val="12"/>
        </w:numPr>
      </w:pPr>
      <w:r>
        <w:rPr>
          <w:rFonts w:ascii="Calibri" w:hAnsi="Calibri" w:eastAsia="Calibri"/>
        </w:rPr>
        <w:t>Katılımcı verileri bakanlık sistemine otomatik olarak API üzerinden mi gönderilecek (bunun için bakanlığın API dokümanına erişim gerekir)?</w:t>
      </w:r>
    </w:p>
    <w:p>
      <w:pPr>
        <w:pStyle w:val="ListNumber"/>
        <w:numPr>
          <w:ilvl w:val="0"/>
          <w:numId w:val="12"/>
        </w:numPr>
      </w:pPr>
      <w:r>
        <w:rPr>
          <w:rFonts w:ascii="Calibri" w:hAnsi="Calibri" w:eastAsia="Calibri"/>
        </w:rPr>
        <w:t>API mümkün değilse, sistem e-Devlet'e yüklemeye hazır formatta bir Excel/PDF çıktısı mı (dışa aktarım) verecek?</w:t>
      </w:r>
    </w:p>
    <w:p>
      <w:pPr>
        <w:pStyle w:val="ListNumber"/>
        <w:numPr>
          <w:ilvl w:val="0"/>
          <w:numId w:val="12"/>
        </w:numPr>
      </w:pPr>
      <w:r>
        <w:rPr>
          <w:rFonts w:ascii="Calibri" w:hAnsi="Calibri" w:eastAsia="Calibri"/>
        </w:rPr>
        <w:t>Bakanlık tarafında onaylanan/reddedilen kayıtların durumu sisteme geri nasıl işlenecek (manuel mi, entegrasyon mu)?</w:t>
      </w:r>
    </w:p>
    <w:p>
      <w:pPr>
        <w:pStyle w:val="ListNumber"/>
        <w:numPr>
          <w:ilvl w:val="0"/>
          <w:numId w:val="12"/>
        </w:numPr>
      </w:pPr>
      <w:r>
        <w:rPr>
          <w:rFonts w:ascii="Calibri" w:hAnsi="Calibri" w:eastAsia="Calibri"/>
        </w:rPr>
        <w:t>e-Devlet'in beklediği veri formatı zaman içinde değişirse (mevzuat güncellemesi) sistemin bu şablonu güncelleyebilmesi için bir "form şablonu yönetimi" ekranı gerekir mi?</w:t>
      </w:r>
    </w:p>
    <w:p>
      <w:pPr>
        <w:pStyle w:val="Heading2"/>
      </w:pPr>
      <w:r>
        <w:t>Takvim ve Çakışma Yönetimi</w:t>
      </w:r>
    </w:p>
    <w:p>
      <w:pPr>
        <w:pStyle w:val="ListNumber"/>
        <w:numPr>
          <w:ilvl w:val="0"/>
          <w:numId w:val="12"/>
        </w:numPr>
      </w:pPr>
      <w:r>
        <w:rPr>
          <w:rFonts w:ascii="Calibri" w:hAnsi="Calibri" w:eastAsia="Calibri"/>
        </w:rPr>
        <w:t>Eğitmenlerin aynı tarihte farklı eğitimlere atanması durumunda sistem bunu kesin olarak engelleyen (Hard Block) bir motor mu çalıştırmalı, yoksa sadece uyarı mı verecek?</w:t>
      </w:r>
    </w:p>
    <w:p>
      <w:pPr>
        <w:pStyle w:val="ListNumber"/>
        <w:numPr>
          <w:ilvl w:val="0"/>
          <w:numId w:val="12"/>
        </w:numPr>
      </w:pPr>
      <w:r>
        <w:rPr>
          <w:rFonts w:ascii="Calibri" w:hAnsi="Calibri" w:eastAsia="Calibri"/>
        </w:rPr>
        <w:t>Bir sınıfın minimum ve maksimum katılımcı sayısı olacak mı? Kontenjan dolunca bekleme listesi (waitlist) mantığı kurulacak mı?</w:t>
      </w:r>
    </w:p>
    <w:p>
      <w:pPr>
        <w:pStyle w:val="ListNumber"/>
        <w:numPr>
          <w:ilvl w:val="0"/>
          <w:numId w:val="12"/>
        </w:numPr>
      </w:pPr>
      <w:r>
        <w:rPr>
          <w:rFonts w:ascii="Calibri" w:hAnsi="Calibri" w:eastAsia="Calibri"/>
        </w:rPr>
        <w:t>Aynı anda birden fazla şehirde/lokasyonda paralel sınıflar açılabilecek mi, bunların tek bir takvim ekranında görselleştirilmesi gerekiyor mu?</w:t>
      </w:r>
    </w:p>
    <w:p>
      <w:pPr>
        <w:pStyle w:val="ListNumber"/>
        <w:numPr>
          <w:ilvl w:val="0"/>
          <w:numId w:val="12"/>
        </w:numPr>
      </w:pPr>
      <w:r>
        <w:rPr>
          <w:rFonts w:ascii="Calibri" w:hAnsi="Calibri" w:eastAsia="Calibri"/>
        </w:rPr>
        <w:t>Eğitmen kendi müsaitlik durumunu (izin, tatil, dolu gün) sisteme girebilecek mi, yoksa bu tamamen admin kontrolünde mi olacak?</w:t>
      </w:r>
    </w:p>
    <w:p>
      <w:pPr>
        <w:pStyle w:val="ListNumber"/>
        <w:numPr>
          <w:ilvl w:val="0"/>
          <w:numId w:val="12"/>
        </w:numPr>
      </w:pPr>
      <w:r>
        <w:rPr>
          <w:rFonts w:ascii="Calibri" w:hAnsi="Calibri" w:eastAsia="Calibri"/>
        </w:rPr>
        <w:t>Hava/saha koşulları nedeniyle bir eğitim iptal/ertelendiğinde tüm katılımcılara otomatik bildirim gidecek mi?</w:t>
      </w:r>
    </w:p>
    <w:p>
      <w:pPr>
        <w:pStyle w:val="Heading2"/>
      </w:pPr>
      <w:r>
        <w:t>Sınav ve Başarı Modülü</w:t>
      </w:r>
    </w:p>
    <w:p>
      <w:pPr>
        <w:pStyle w:val="ListNumber"/>
        <w:numPr>
          <w:ilvl w:val="0"/>
          <w:numId w:val="12"/>
        </w:numPr>
      </w:pPr>
      <w:r>
        <w:rPr>
          <w:rFonts w:ascii="Calibri" w:hAnsi="Calibri" w:eastAsia="Calibri"/>
        </w:rPr>
        <w:t>Eğitim sonrası sınav notu/geçti-kaldı takibi sistem üzerinden mi yapılacak, yoksa harici bir sınav aracı mı kullanılacak?</w:t>
      </w:r>
    </w:p>
    <w:p>
      <w:pPr>
        <w:pStyle w:val="ListNumber"/>
        <w:numPr>
          <w:ilvl w:val="0"/>
          <w:numId w:val="12"/>
        </w:numPr>
      </w:pPr>
      <w:r>
        <w:rPr>
          <w:rFonts w:ascii="Calibri" w:hAnsi="Calibri" w:eastAsia="Calibri"/>
        </w:rPr>
        <w:t>Sınavda başarısız olan katılımcı için "yeniden sınav" veya "eğitimi tekrar alma" süreci sistemde nasıl tanımlanacak?</w:t>
      </w:r>
    </w:p>
    <w:p>
      <w:pPr>
        <w:pStyle w:val="ListNumber"/>
        <w:numPr>
          <w:ilvl w:val="0"/>
          <w:numId w:val="12"/>
        </w:numPr>
      </w:pPr>
      <w:r>
        <w:rPr>
          <w:rFonts w:ascii="Calibri" w:hAnsi="Calibri" w:eastAsia="Calibri"/>
        </w:rPr>
        <w:t>Sınav sonuçları sertifika üretimini otomatik tetikleyecek mi (yani "geçti" olmadan sertifika oluşturulamaz kuralı var mı)?</w:t>
      </w:r>
    </w:p>
    <w:p>
      <w:pPr>
        <w:pStyle w:val="ListNumber"/>
        <w:numPr>
          <w:ilvl w:val="0"/>
          <w:numId w:val="12"/>
        </w:numPr>
      </w:pPr>
      <w:r>
        <w:rPr>
          <w:rFonts w:ascii="Calibri" w:hAnsi="Calibri" w:eastAsia="Calibri"/>
        </w:rPr>
        <w:t>Pratik/uygulamalı sınavlar için (yazılı olmayan) bir değerlendirme formu/checklist modülü gerekiyor mu?</w:t>
      </w:r>
    </w:p>
    <w:p>
      <w:pPr>
        <w:pStyle w:val="Heading2"/>
      </w:pPr>
      <w:r>
        <w:t>Sertifika Üretimi ve Doğrulama</w:t>
      </w:r>
    </w:p>
    <w:p>
      <w:pPr>
        <w:pStyle w:val="ListNumber"/>
        <w:numPr>
          <w:ilvl w:val="0"/>
          <w:numId w:val="12"/>
        </w:numPr>
      </w:pPr>
      <w:r>
        <w:rPr>
          <w:rFonts w:ascii="Calibri" w:hAnsi="Calibri" w:eastAsia="Calibri"/>
        </w:rPr>
        <w:t>Sistem dinamik olarak QR kodlu, logolu ve imzalı PDF sertifikalar oluşturup e-posta ile otomatik gönderim yapacak mı?</w:t>
      </w:r>
    </w:p>
    <w:p>
      <w:pPr>
        <w:pStyle w:val="ListNumber"/>
        <w:numPr>
          <w:ilvl w:val="0"/>
          <w:numId w:val="12"/>
        </w:numPr>
      </w:pPr>
      <w:r>
        <w:rPr>
          <w:rFonts w:ascii="Calibri" w:hAnsi="Calibri" w:eastAsia="Calibri"/>
        </w:rPr>
        <w:t>Sertifikaların gerçekliğinin üçüncü taraflarca (örn. liman yetkilisi, denetçi firma) doğrulanabileceği herkese açık bir "sertifika doğrulama" sayfası (sertifika no ile sorgulama) istenir mi?</w:t>
      </w:r>
    </w:p>
    <w:p>
      <w:pPr>
        <w:pStyle w:val="ListNumber"/>
        <w:numPr>
          <w:ilvl w:val="0"/>
          <w:numId w:val="12"/>
        </w:numPr>
      </w:pPr>
      <w:r>
        <w:rPr>
          <w:rFonts w:ascii="Calibri" w:hAnsi="Calibri" w:eastAsia="Calibri"/>
        </w:rPr>
        <w:t>Sertifikada dijital imza/e-imza kullanılacak mı, yoksa taranmış ıslak imza görseli yeterli mi?</w:t>
      </w:r>
    </w:p>
    <w:p>
      <w:pPr>
        <w:pStyle w:val="ListNumber"/>
        <w:numPr>
          <w:ilvl w:val="0"/>
          <w:numId w:val="12"/>
        </w:numPr>
      </w:pPr>
      <w:r>
        <w:rPr>
          <w:rFonts w:ascii="Calibri" w:hAnsi="Calibri" w:eastAsia="Calibri"/>
        </w:rPr>
        <w:t>Sertifika iptali/geçersiz kılınması gereken durumlarda (örn. hatalı düzenleme) sistemde bir "iptal/revizyon" mekanizması olacak mı?</w:t>
      </w:r>
    </w:p>
    <w:p>
      <w:pPr>
        <w:pStyle w:val="ListNumber"/>
        <w:numPr>
          <w:ilvl w:val="0"/>
          <w:numId w:val="12"/>
        </w:numPr>
      </w:pPr>
      <w:r>
        <w:rPr>
          <w:rFonts w:ascii="Calibri" w:hAnsi="Calibri" w:eastAsia="Calibri"/>
        </w:rPr>
        <w:t>Sertifika şablonları eğitim türüne göre farklılaşacak mı (örn. IMDG sertifikası ile Gemi Kaptanı sertifikası farklı tasarımda mı olacak)?</w:t>
      </w:r>
    </w:p>
    <w:p>
      <w:pPr>
        <w:pStyle w:val="Heading2"/>
      </w:pPr>
      <w:r>
        <w:t>Eski Veri Aktarımı</w:t>
      </w:r>
    </w:p>
    <w:p>
      <w:pPr>
        <w:pStyle w:val="ListNumber"/>
        <w:numPr>
          <w:ilvl w:val="0"/>
          <w:numId w:val="12"/>
        </w:numPr>
      </w:pPr>
      <w:r>
        <w:rPr>
          <w:rFonts w:ascii="Calibri" w:hAnsi="Calibri" w:eastAsia="Calibri"/>
        </w:rPr>
        <w:t>Şu an kullanılan Excel kayıtlarının veritabanına toplu olarak aktarılabilmesi için bir içe aktarma (import) aracı geliştirilecek mi?</w:t>
      </w:r>
    </w:p>
    <w:p>
      <w:pPr>
        <w:pStyle w:val="ListNumber"/>
        <w:numPr>
          <w:ilvl w:val="0"/>
          <w:numId w:val="12"/>
        </w:numPr>
      </w:pPr>
      <w:r>
        <w:rPr>
          <w:rFonts w:ascii="Calibri" w:hAnsi="Calibri" w:eastAsia="Calibri"/>
        </w:rPr>
        <w:t>Geçmiş yıllara ait (arşiv) kayıtların ne kadarı sisteme taşınacak - tüm tarihçe mi, yoksa yalnızca hâlâ geçerli olan sertifikalar mı?</w:t>
      </w:r>
    </w:p>
    <w:p>
      <w:pPr>
        <w:pStyle w:val="ListNumber"/>
        <w:numPr>
          <w:ilvl w:val="0"/>
          <w:numId w:val="12"/>
        </w:numPr>
      </w:pPr>
      <w:r>
        <w:rPr>
          <w:rFonts w:ascii="Calibri" w:hAnsi="Calibri" w:eastAsia="Calibri"/>
        </w:rPr>
        <w:t>İçe aktarım sırasında mükerrer TC kimlik / hatalı veri tespit edilirse sistem bunları nasıl raporlayacak (hata log dosyası, manuel düzeltme ekranı vb.)?</w:t>
      </w:r>
    </w:p>
    <w:p>
      <w:pPr>
        <w:pStyle w:val="Heading2"/>
      </w:pPr>
      <w:r>
        <w:t>Eğitmen Yönetimi ve Hakediş</w:t>
      </w:r>
    </w:p>
    <w:p>
      <w:pPr>
        <w:pStyle w:val="ListNumber"/>
        <w:numPr>
          <w:ilvl w:val="0"/>
          <w:numId w:val="12"/>
        </w:numPr>
      </w:pPr>
      <w:r>
        <w:rPr>
          <w:rFonts w:ascii="Calibri" w:hAnsi="Calibri" w:eastAsia="Calibri"/>
        </w:rPr>
        <w:t>Eğitmenlerin kendi yetkinlik belgelerinin de bir geçerlilik/bitiş tarihi var - bu tarihler de 45 günlük otomatik uyarı kuralına dahil edilecek mi (yani süresi dolmak üzere olan eğitmen belgesi için de bildirim gitsin mi)?</w:t>
      </w:r>
    </w:p>
    <w:p>
      <w:pPr>
        <w:pStyle w:val="ListNumber"/>
        <w:numPr>
          <w:ilvl w:val="0"/>
          <w:numId w:val="12"/>
        </w:numPr>
      </w:pPr>
      <w:r>
        <w:rPr>
          <w:rFonts w:ascii="Calibri" w:hAnsi="Calibri" w:eastAsia="Calibri"/>
        </w:rPr>
        <w:t>Eğitmen ücretlendirmesi ders başına mı, gün başına mı, yoksa sabit maaş/anlaşma usulü mü olacak?</w:t>
      </w:r>
    </w:p>
    <w:p>
      <w:pPr>
        <w:pStyle w:val="ListNumber"/>
        <w:numPr>
          <w:ilvl w:val="0"/>
          <w:numId w:val="12"/>
        </w:numPr>
      </w:pPr>
      <w:r>
        <w:rPr>
          <w:rFonts w:ascii="Calibri" w:hAnsi="Calibri" w:eastAsia="Calibri"/>
        </w:rPr>
        <w:t>Eğitmen hakedişleri (verdiği eğitim sayısına göre) otomatik hesaplanıp muhasebe modülüne mi düşecek?</w:t>
      </w:r>
    </w:p>
    <w:p>
      <w:pPr>
        <w:pStyle w:val="ListNumber"/>
        <w:numPr>
          <w:ilvl w:val="0"/>
          <w:numId w:val="12"/>
        </w:numPr>
      </w:pPr>
      <w:r>
        <w:rPr>
          <w:rFonts w:ascii="Calibri" w:hAnsi="Calibri" w:eastAsia="Calibri"/>
        </w:rPr>
        <w:t>Katılımcılardan eğitim sonrası eğitmen için bir memnuniyet/performans anketi alınacak mı, sonuçlar eğitmen profiline mi işlenecek?</w:t>
      </w:r>
    </w:p>
    <w:p>
      <w:pPr>
        <w:pStyle w:val="ListNumber"/>
        <w:numPr>
          <w:ilvl w:val="0"/>
          <w:numId w:val="12"/>
        </w:numPr>
      </w:pPr>
      <w:r>
        <w:rPr>
          <w:rFonts w:ascii="Calibri" w:hAnsi="Calibri" w:eastAsia="Calibri"/>
        </w:rPr>
        <w:t>Eğitmenler dış kaynak (freelance) mi, yoksa şirket bünyesinde mi - buna göre sözleşme/vergi belgesi takibi gerekiyor mu?</w:t>
      </w:r>
    </w:p>
    <w:p>
      <w:pPr>
        <w:pStyle w:val="Heading2"/>
      </w:pPr>
      <w:r>
        <w:t>Firma / Müşteri Yönetimi (CRM)</w:t>
      </w:r>
    </w:p>
    <w:p>
      <w:pPr>
        <w:pStyle w:val="ListNumber"/>
        <w:numPr>
          <w:ilvl w:val="0"/>
          <w:numId w:val="12"/>
        </w:numPr>
      </w:pPr>
      <w:r>
        <w:rPr>
          <w:rFonts w:ascii="Calibri" w:hAnsi="Calibri" w:eastAsia="Calibri"/>
        </w:rPr>
        <w:t>Firma başına birden fazla yetkili kişi (irtibat kişisi) tanımlanabilecek mi?</w:t>
      </w:r>
    </w:p>
    <w:p>
      <w:pPr>
        <w:pStyle w:val="ListNumber"/>
        <w:numPr>
          <w:ilvl w:val="0"/>
          <w:numId w:val="12"/>
        </w:numPr>
      </w:pPr>
      <w:r>
        <w:rPr>
          <w:rFonts w:ascii="Calibri" w:hAnsi="Calibri" w:eastAsia="Calibri"/>
        </w:rPr>
        <w:t>Firmalar için toplu katılımcı yükleme (Excel ile bulk import) özelliği istenir mi?</w:t>
      </w:r>
    </w:p>
    <w:p>
      <w:pPr>
        <w:pStyle w:val="ListNumber"/>
        <w:numPr>
          <w:ilvl w:val="0"/>
          <w:numId w:val="12"/>
        </w:numPr>
      </w:pPr>
      <w:r>
        <w:rPr>
          <w:rFonts w:ascii="Calibri" w:hAnsi="Calibri" w:eastAsia="Calibri"/>
        </w:rPr>
        <w:t>Firma bazında sözleşme/anlaşma dosyaları (imzalı kontrat, KVKK aydınlatma metni onayı vb.) sisteme yüklenip saklanacak mı?</w:t>
      </w:r>
    </w:p>
    <w:p>
      <w:pPr>
        <w:pStyle w:val="ListNumber"/>
        <w:numPr>
          <w:ilvl w:val="0"/>
          <w:numId w:val="12"/>
        </w:numPr>
      </w:pPr>
      <w:r>
        <w:rPr>
          <w:rFonts w:ascii="Calibri" w:hAnsi="Calibri" w:eastAsia="Calibri"/>
        </w:rPr>
        <w:t>Faz 2'de planlanan "Firma Yetkilisi Portalı" için firma yetkilisinin göreceği ekranların kapsamı netleştirilmeli mi (sadece görüntüleme mi, teklif talep etme gibi aksiyonlar da olacak mı)?</w:t>
      </w:r>
    </w:p>
    <w:p>
      <w:pPr>
        <w:pStyle w:val="Heading2"/>
      </w:pPr>
      <w:r>
        <w:t>Bildirim Kanalları</w:t>
      </w:r>
    </w:p>
    <w:p>
      <w:pPr>
        <w:pStyle w:val="ListNumber"/>
        <w:numPr>
          <w:ilvl w:val="0"/>
          <w:numId w:val="12"/>
        </w:numPr>
      </w:pPr>
      <w:r>
        <w:rPr>
          <w:rFonts w:ascii="Calibri" w:hAnsi="Calibri" w:eastAsia="Calibri"/>
        </w:rPr>
        <w:t>E-posta ve sistem içi bildirime ek olarak SMS veya WhatsApp Business API üzerinden bildirim gönderimi planlanıyor mu (Türkiye'de firma yetkilileri e-postayı geç görebiliyor, bu satış fırsatını etkileyebilir)?</w:t>
      </w:r>
    </w:p>
    <w:p>
      <w:pPr>
        <w:pStyle w:val="ListNumber"/>
        <w:numPr>
          <w:ilvl w:val="0"/>
          <w:numId w:val="12"/>
        </w:numPr>
      </w:pPr>
      <w:r>
        <w:rPr>
          <w:rFonts w:ascii="Calibri" w:hAnsi="Calibri" w:eastAsia="Calibri"/>
        </w:rPr>
        <w:t>Bildirim tercihleri kullanıcı bazında özelleştirilebilecek mi (örn. sadece e-posta isteyen firma, hem SMS hem e-posta isteyen firma)?</w:t>
      </w:r>
    </w:p>
    <w:p>
      <w:pPr>
        <w:pStyle w:val="Heading2"/>
      </w:pPr>
      <w:r>
        <w:t>KVKK Uyum ve Denetim Kaydı</w:t>
      </w:r>
    </w:p>
    <w:p>
      <w:pPr>
        <w:pStyle w:val="ListNumber"/>
        <w:numPr>
          <w:ilvl w:val="0"/>
          <w:numId w:val="12"/>
        </w:numPr>
      </w:pPr>
      <w:r>
        <w:rPr>
          <w:rFonts w:ascii="Calibri" w:hAnsi="Calibri" w:eastAsia="Calibri"/>
        </w:rPr>
        <w:t>Katılımcılardan açık rıza metni onayı sistem üzerinden mi alınacak (dijital onay kutusu / imza), yoksa kağıt üzerinde mi kalacak?</w:t>
      </w:r>
    </w:p>
    <w:p>
      <w:pPr>
        <w:pStyle w:val="ListNumber"/>
        <w:numPr>
          <w:ilvl w:val="0"/>
          <w:numId w:val="12"/>
        </w:numPr>
      </w:pPr>
      <w:r>
        <w:rPr>
          <w:rFonts w:ascii="Calibri" w:hAnsi="Calibri" w:eastAsia="Calibri"/>
        </w:rPr>
        <w:t>Kişisel verilere (TC kimlik, iletişim bilgisi) kimin, ne zaman eriştiğini gösteren bir denetim kaydı (audit log) tutulacak mı?</w:t>
      </w:r>
    </w:p>
    <w:p>
      <w:pPr>
        <w:pStyle w:val="ListNumber"/>
        <w:numPr>
          <w:ilvl w:val="0"/>
          <w:numId w:val="12"/>
        </w:numPr>
      </w:pPr>
      <w:r>
        <w:rPr>
          <w:rFonts w:ascii="Calibri" w:hAnsi="Calibri" w:eastAsia="Calibri"/>
        </w:rPr>
        <w:t>Veri saklama süresi sonunda (örn. katılımcı X yıldır sistemde aktif değilse) otomatik anonimleştirme/silme süreci olacak mı?</w:t>
      </w:r>
    </w:p>
    <w:p>
      <w:pPr>
        <w:pStyle w:val="ListNumber"/>
        <w:numPr>
          <w:ilvl w:val="0"/>
          <w:numId w:val="12"/>
        </w:numPr>
      </w:pPr>
      <w:r>
        <w:rPr>
          <w:rFonts w:ascii="Calibri" w:hAnsi="Calibri" w:eastAsia="Calibri"/>
        </w:rPr>
        <w:t>Bir katılımcı KVKK kapsamında "verilerimin silinmesini istiyorum" talebinde bulunursa bu süreç sistem üzerinden nasıl yönetilecek?</w:t>
      </w:r>
    </w:p>
    <w:p>
      <w:pPr>
        <w:pStyle w:val="Heading2"/>
      </w:pPr>
      <w:r>
        <w:t>Muhasebe ve Fatura Entegrasyonu</w:t>
      </w:r>
    </w:p>
    <w:p>
      <w:pPr>
        <w:pStyle w:val="ListNumber"/>
        <w:numPr>
          <w:ilvl w:val="0"/>
          <w:numId w:val="12"/>
        </w:numPr>
      </w:pPr>
      <w:r>
        <w:rPr>
          <w:rFonts w:ascii="Calibri" w:hAnsi="Calibri" w:eastAsia="Calibri"/>
        </w:rPr>
        <w:t>Türkiye'de e-Fatura/e-Arşiv zorunluluğu nedeniyle sistem sıfırdan mı fatura kesecek, yoksa bir e-fatura entegratörü (Logo, Paraşüt, Foriba, Mikro vb.) ile mi entegre olacak?</w:t>
      </w:r>
    </w:p>
    <w:p>
      <w:pPr>
        <w:pStyle w:val="ListNumber"/>
        <w:numPr>
          <w:ilvl w:val="0"/>
          <w:numId w:val="12"/>
        </w:numPr>
      </w:pPr>
      <w:r>
        <w:rPr>
          <w:rFonts w:ascii="Calibri" w:hAnsi="Calibri" w:eastAsia="Calibri"/>
        </w:rPr>
        <w:t>Online ödeme alınacak mı (kredi kartı/havale) - alınacaksa hangi ödeme altyapısı (iyzico, PayTR vb.) tercih edilecek?</w:t>
      </w:r>
    </w:p>
    <w:p>
      <w:pPr>
        <w:pStyle w:val="ListNumber"/>
        <w:numPr>
          <w:ilvl w:val="0"/>
          <w:numId w:val="12"/>
        </w:numPr>
      </w:pPr>
      <w:r>
        <w:rPr>
          <w:rFonts w:ascii="Calibri" w:hAnsi="Calibri" w:eastAsia="Calibri"/>
        </w:rPr>
        <w:t>Taksitli ödeme/vade takibi (örn. firma 3 taksitte ödeyecek) sistemde desteklenecek mi?</w:t>
      </w:r>
    </w:p>
    <w:p>
      <w:pPr>
        <w:pStyle w:val="ListNumber"/>
        <w:numPr>
          <w:ilvl w:val="0"/>
          <w:numId w:val="12"/>
        </w:numPr>
      </w:pPr>
      <w:r>
        <w:rPr>
          <w:rFonts w:ascii="Calibri" w:hAnsi="Calibri" w:eastAsia="Calibri"/>
        </w:rPr>
        <w:t>Muhasebe modülü mevcut bir muhasebe yazılımıyla (Logo, Netsis vb.) veri alışverişi yapacak mı, yoksa tamamen bağımsız mı çalışacak?</w:t>
      </w:r>
    </w:p>
    <w:p>
      <w:pPr>
        <w:pStyle w:val="Heading2"/>
      </w:pPr>
      <w:r>
        <w:t>Raporlama ve Yönetici Dashboard</w:t>
      </w:r>
    </w:p>
    <w:p>
      <w:pPr>
        <w:pStyle w:val="ListNumber"/>
        <w:numPr>
          <w:ilvl w:val="0"/>
          <w:numId w:val="12"/>
        </w:numPr>
      </w:pPr>
      <w:r>
        <w:rPr>
          <w:rFonts w:ascii="Calibri" w:hAnsi="Calibri" w:eastAsia="Calibri"/>
        </w:rPr>
        <w:t>Yöneticinin girişte ilk göreceği ana ekranda (dashboard) hangi KPI'lar öncelikli olmalı (örn. bu ay açılan teklif sayısı, dönüşüm oranı, yaklaşan yenileme sayısı, aylık ciro)?</w:t>
      </w:r>
    </w:p>
    <w:p>
      <w:pPr>
        <w:pStyle w:val="ListNumber"/>
        <w:numPr>
          <w:ilvl w:val="0"/>
          <w:numId w:val="12"/>
        </w:numPr>
      </w:pPr>
      <w:r>
        <w:rPr>
          <w:rFonts w:ascii="Calibri" w:hAnsi="Calibri" w:eastAsia="Calibri"/>
        </w:rPr>
        <w:t>Raporlar sadece görüntülenebilir mi, yoksa Excel/PDF olarak dışa aktarılabilecek mi?</w:t>
      </w:r>
    </w:p>
    <w:p>
      <w:pPr>
        <w:pStyle w:val="ListNumber"/>
        <w:numPr>
          <w:ilvl w:val="0"/>
          <w:numId w:val="12"/>
        </w:numPr>
      </w:pPr>
      <w:r>
        <w:rPr>
          <w:rFonts w:ascii="Calibri" w:hAnsi="Calibri" w:eastAsia="Calibri"/>
        </w:rPr>
        <w:t>Eğitmen performans karşılaştırması (kim daha çok ders vermiş, kimin katılımcı puanı yüksek) yönetici için ayrı bir rapor ekranı olarak mı sunulacak?</w:t>
      </w:r>
    </w:p>
    <w:p>
      <w:pPr>
        <w:pStyle w:val="Heading2"/>
      </w:pPr>
      <w:r>
        <w:t>Kaynak ve Ekipman Yönetimi</w:t>
      </w:r>
    </w:p>
    <w:p>
      <w:pPr>
        <w:pStyle w:val="ListNumber"/>
        <w:numPr>
          <w:ilvl w:val="0"/>
          <w:numId w:val="12"/>
        </w:numPr>
      </w:pPr>
      <w:r>
        <w:rPr>
          <w:rFonts w:ascii="Calibri" w:hAnsi="Calibri" w:eastAsia="Calibri"/>
        </w:rPr>
        <w:t>Pratik uygulamalı eğitimlerde (örn. yangın söndürme, cankurtaran ekipmanı) kullanılan fiziksel ekipmanın envanteri ve bakım takvimi sisteme dahil edilecek mi?</w:t>
      </w:r>
    </w:p>
    <w:p>
      <w:pPr>
        <w:pStyle w:val="ListNumber"/>
        <w:numPr>
          <w:ilvl w:val="0"/>
          <w:numId w:val="12"/>
        </w:numPr>
      </w:pPr>
      <w:r>
        <w:rPr>
          <w:rFonts w:ascii="Calibri" w:hAnsi="Calibri" w:eastAsia="Calibri"/>
        </w:rPr>
        <w:t>Derslik/salon kapasitesi ve rezervasyon çakışması (aynı salonun iki eğitime aynı anda atanmaması) kontrol edilecek mi?</w:t>
      </w:r>
    </w:p>
    <w:p>
      <w:pPr>
        <w:pStyle w:val="Heading2"/>
      </w:pPr>
      <w:r>
        <w:t>Mobil Erişim ve Saha Kullanımı</w:t>
      </w:r>
    </w:p>
    <w:p>
      <w:pPr>
        <w:pStyle w:val="ListNumber"/>
        <w:numPr>
          <w:ilvl w:val="0"/>
          <w:numId w:val="12"/>
        </w:numPr>
      </w:pPr>
      <w:r>
        <w:rPr>
          <w:rFonts w:ascii="Calibri" w:hAnsi="Calibri" w:eastAsia="Calibri"/>
        </w:rPr>
        <w:t>Eğitmenlerin sahada (liman, gemi vb.) internet bağlantısı zayıf olabilir - yoklama alma gibi işlemler için çevrimdışı (offline) çalışıp bağlantı geldiğinde senkronize olan bir mod gerekiyor mu?</w:t>
      </w:r>
    </w:p>
    <w:p>
      <w:pPr>
        <w:pStyle w:val="ListNumber"/>
        <w:numPr>
          <w:ilvl w:val="0"/>
          <w:numId w:val="12"/>
        </w:numPr>
      </w:pPr>
      <w:r>
        <w:rPr>
          <w:rFonts w:ascii="Calibri" w:hAnsi="Calibri" w:eastAsia="Calibri"/>
        </w:rPr>
        <w:t>Katılımcıların kendi sertifika durumlarını sorgulayabileceği basit bir mobil/web arayüzü (login gerektirmeyen, TC kimlik + doğrulama kodu ile sorgu) planlanıyor mu?</w:t>
      </w:r>
    </w:p>
    <w:p>
      <w:pPr>
        <w:pStyle w:val="Heading2"/>
      </w:pPr>
      <w:r>
        <w:t>Ölçeklenme ve Çoklu Şube</w:t>
      </w:r>
    </w:p>
    <w:p>
      <w:pPr>
        <w:pStyle w:val="ListNumber"/>
        <w:numPr>
          <w:ilvl w:val="0"/>
          <w:numId w:val="12"/>
        </w:numPr>
      </w:pPr>
      <w:r>
        <w:rPr>
          <w:rFonts w:ascii="Calibri" w:hAnsi="Calibri" w:eastAsia="Calibri"/>
        </w:rPr>
        <w:t>3E Academy'nin birden fazla şubesi/ofisi varsa, sistem çoklu şube (multi-branch) yapısını mı destekleyecek, yoksa tek merkezi yapı mı yeterli?</w:t>
      </w:r>
    </w:p>
    <w:p>
      <w:pPr>
        <w:pStyle w:val="ListNumber"/>
        <w:numPr>
          <w:ilvl w:val="0"/>
          <w:numId w:val="12"/>
        </w:numPr>
      </w:pPr>
      <w:r>
        <w:rPr>
          <w:rFonts w:ascii="Calibri" w:hAnsi="Calibri" w:eastAsia="Calibri"/>
        </w:rPr>
        <w:t>İleride başka bir eğitim şirketiyle (white-label / bayi) bu sistemin paylaşılması/lisanslanması gündeme gelebilir mi - bu ihtimal veri modelini (multi-tenant mimari) şimdiden etkiler mi?</w:t>
      </w:r>
    </w:p>
    <w:p>
      <w:pPr>
        <w:pStyle w:val="Heading1"/>
        <w:keepNext/>
        <w:keepLines/>
      </w:pPr>
      <w:r>
        <w:t>Ek F - Yönetim Onay Listesi</w:t>
      </w:r>
    </w:p>
    <w:p>
      <w:pPr>
        <w:pStyle w:val="ListBullet"/>
      </w:pPr>
      <w:r>
        <w:rPr>
          <w:rFonts w:ascii="Calibri" w:hAnsi="Calibri" w:eastAsia="Calibri"/>
        </w:rPr>
        <w:t>Ürün adı, marka ve lider şirket</w:t>
      </w:r>
    </w:p>
    <w:p>
      <w:pPr>
        <w:pStyle w:val="ListBullet"/>
      </w:pPr>
      <w:r>
        <w:rPr>
          <w:rFonts w:ascii="Calibri" w:hAnsi="Calibri" w:eastAsia="Calibri"/>
        </w:rPr>
        <w:t>MVP kapsamı ve MVP dışı maddeler</w:t>
      </w:r>
    </w:p>
    <w:p>
      <w:pPr>
        <w:pStyle w:val="ListBullet"/>
      </w:pPr>
      <w:r>
        <w:rPr>
          <w:rFonts w:ascii="Calibri" w:hAnsi="Calibri" w:eastAsia="Calibri"/>
        </w:rPr>
        <w:t>Mevzuat kural sahipleri ve onay süreci</w:t>
      </w:r>
    </w:p>
    <w:p>
      <w:pPr>
        <w:pStyle w:val="ListBullet"/>
      </w:pPr>
      <w:r>
        <w:rPr>
          <w:rFonts w:ascii="Calibri" w:hAnsi="Calibri" w:eastAsia="Calibri"/>
        </w:rPr>
        <w:t>Pilot müşteri ve veri setleri</w:t>
      </w:r>
    </w:p>
    <w:p>
      <w:pPr>
        <w:pStyle w:val="ListBullet"/>
      </w:pPr>
      <w:r>
        <w:rPr>
          <w:rFonts w:ascii="Calibri" w:hAnsi="Calibri" w:eastAsia="Calibri"/>
        </w:rPr>
        <w:t>Fiyatlandırma ve teklif onay limitleri</w:t>
      </w:r>
    </w:p>
    <w:p>
      <w:pPr>
        <w:pStyle w:val="ListBullet"/>
      </w:pPr>
      <w:r>
        <w:rPr>
          <w:rFonts w:ascii="Calibri" w:hAnsi="Calibri" w:eastAsia="Calibri"/>
        </w:rPr>
        <w:t>Muhasebe/e-fatura entegrasyon tercihi</w:t>
      </w:r>
    </w:p>
    <w:p>
      <w:pPr>
        <w:pStyle w:val="ListBullet"/>
      </w:pPr>
      <w:r>
        <w:rPr>
          <w:rFonts w:ascii="Calibri" w:hAnsi="Calibri" w:eastAsia="Calibri"/>
        </w:rPr>
        <w:t>Bulut bölgesi ve KVKK/yurt dışı aktarım yaklaşımı</w:t>
      </w:r>
    </w:p>
    <w:p>
      <w:pPr>
        <w:pStyle w:val="ListBullet"/>
      </w:pPr>
      <w:r>
        <w:rPr>
          <w:rFonts w:ascii="Calibri" w:hAnsi="Calibri" w:eastAsia="Calibri"/>
        </w:rPr>
        <w:t>Destek modeli, SLA ve sorumluluk sınırları</w:t>
      </w:r>
    </w:p>
    <w:p>
      <w:pPr>
        <w:pStyle w:val="ListBullet"/>
      </w:pPr>
      <w:r>
        <w:rPr>
          <w:rFonts w:ascii="Calibri" w:hAnsi="Calibri" w:eastAsia="Calibri"/>
        </w:rPr>
        <w:t>Proje bütçesi, ekip ve 22 haftalık takvim</w:t>
      </w:r>
    </w:p>
    <w:p>
      <w:pPr>
        <w:pStyle w:val="ListBullet"/>
      </w:pPr>
      <w:r>
        <w:rPr>
          <w:rFonts w:ascii="Calibri" w:hAnsi="Calibri" w:eastAsia="Calibri"/>
        </w:rPr>
        <w:t>Canlıya geçiş kabul kurulu</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jc w:val="left"/>
    </w:pPr>
    <w:r>
      <w:rPr>
        <w:rFonts w:ascii="Calibri" w:hAnsi="Calibri" w:eastAsia="Calibri"/>
        <w:color w:val="667085"/>
        <w:sz w:val="16"/>
      </w:rPr>
      <w:t>3E Group - Kontrollü Doküman</w:t>
    </w:r>
    <w:r>
      <w:tab/>
    </w:r>
    <w:r>
      <w:rPr>
        <w:rFonts w:ascii="Calibri" w:hAnsi="Calibri" w:eastAsia="Calibri"/>
        <w:color w:val="667085"/>
        <w:sz w:val="16"/>
      </w:rPr>
      <w:t xml:space="preserve">Sayfa </w:t>
    </w:r>
    <w:r>
      <w:rPr>
        <w:rFonts w:ascii="Calibri" w:hAnsi="Calibri" w:eastAsia="Calibri"/>
        <w:color w:val="667085"/>
        <w:sz w:val="16"/>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jc w:val="left"/>
    </w:pPr>
    <w:r>
      <w:rPr>
        <w:rFonts w:ascii="Calibri" w:hAnsi="Calibri" w:eastAsia="Calibri"/>
        <w:b/>
        <w:color w:val="667085"/>
        <w:sz w:val="17"/>
      </w:rPr>
      <w:t>3E AKADEMİ  |  EĞİTİM VE UYUM YÖNETİM PLATFORMU</w:t>
    </w:r>
    <w:r>
      <w:tab/>
    </w:r>
    <w:r>
      <w:rPr>
        <w:rFonts w:ascii="Calibri" w:hAnsi="Calibri" w:eastAsia="Calibri"/>
        <w:b/>
        <w:color w:val="667085"/>
        <w:sz w:val="17"/>
      </w:rPr>
      <w:t>PRD v3.1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720"/>
        </w:tabs>
        <w:ind w:left="720" w:hanging="360"/>
        <w:spacing w:after="160" w:line="280" w:lineRule="auto"/>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spacing w:after="160" w:line="280" w:lineRule="auto"/>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0B254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pPr>
    <w:rPr>
      <w:rFonts w:asciiTheme="majorHAnsi" w:eastAsiaTheme="majorEastAsia" w:hAnsiTheme="majorHAnsi" w:cstheme="majorBidi" w:ascii="Calibri" w:hAnsi="Calibri"/>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itation">
    <w:name w:val="Table Citation"/>
    <w:pPr>
      <w:spacing w:before="80" w:after="80"/>
    </w:pPr>
    <w:rPr>
      <w:rFonts w:ascii="Calibri" w:hAnsi="Calibri"/>
      <w:i/>
      <w:color w:val="667085"/>
      <w:sz w:val="18"/>
    </w:rPr>
  </w:style>
  <w:style w:type="paragraph" w:customStyle="1" w:styleId="SmallMetadata">
    <w:name w:val="Small Metadata"/>
    <w:pPr>
      <w:spacing w:after="60"/>
    </w:pPr>
    <w:rPr>
      <w:rFonts w:ascii="Calibri" w:hAnsi="Calibri"/>
      <w:color w:val="667085"/>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nizcilik.uab.gov.tr/uploads/pages/yonerge-talimat/deniz-ticareti-gozetim-hizmetleri-uygulama-yonergesi2.pdf" TargetMode="External"/><Relationship Id="rId12" Type="http://schemas.openxmlformats.org/officeDocument/2006/relationships/hyperlink" Target="https://uhdgm.uab.gov.tr/uploads/pages/yonergeler/gozetim-yonerge-2020-degisikliklerin-islendigi-nush1.pdf" TargetMode="External"/><Relationship Id="rId13" Type="http://schemas.openxmlformats.org/officeDocument/2006/relationships/hyperlink" Target="https://uhdgm.uab.gov.tr/uploads/pages/yonergeler/egitim-yonergesi.pdf" TargetMode="External"/><Relationship Id="rId14" Type="http://schemas.openxmlformats.org/officeDocument/2006/relationships/image" Target="media/image1.png"/><Relationship Id="rId15" Type="http://schemas.openxmlformats.org/officeDocument/2006/relationships/hyperlink" Target="https://denizcilik.uab.gov.tr/deniz-gozetim-modulu" TargetMode="External"/><Relationship Id="rId16" Type="http://schemas.openxmlformats.org/officeDocument/2006/relationships/hyperlink" Target="https://www.kvkk.gov.tr/yayinlar/veri_guvenligi_rehberi.pdf" TargetMode="External"/><Relationship Id="rId17" Type="http://schemas.openxmlformats.org/officeDocument/2006/relationships/hyperlink" Target="https://www.kvkk.gov.tr/Icerik/2053/Yurtdisina-Aktar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3E Akademi Eğitim ve Uyum Yönetim Platformu - Proje Dosyası</dc:title>
  <dc:subject>Bulut tabanlı eğitim, yetkinlik, belgelendirme ve e-işlem yönetimi</dc:subject>
  <dc:creator>3E Group</dc:creator>
  <cp:keywords>3E Akademi, SaaS, eğitim, uyum, IMDG, CTU, CSS, gözetim, PRD</cp:keywords>
  <dc:description>PRD v2; Deniz Ticareti Gözetim, Tehlikeli Yük Deniz Gözetim ve IMDG eğitim yönergeleri birleştirilerek hazırlanmıştır.</dc:description>
  <cp:lastModifiedBy/>
  <cp:revision>1</cp:revision>
  <dcterms:created xsi:type="dcterms:W3CDTF">2013-12-23T23:15:00Z</dcterms:created>
  <dcterms:modified xsi:type="dcterms:W3CDTF">2013-12-23T23:15:00Z</dcterms:modified>
  <cp:category/>
</cp:coreProperties>
</file>