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240" w:line="300" w:lineRule="auto"/>
        <w:jc w:val="left"/>
      </w:pPr>
      <w:r>
        <w:rPr>
          <w:rFonts w:ascii="Calibri" w:hAnsi="Calibri" w:eastAsia="Calibri"/>
          <w:b/>
          <w:i w:val="0"/>
          <w:color w:val="2E7D32"/>
          <w:sz w:val="19"/>
        </w:rPr>
        <w:t>3E GROUP • ÜRÜN GEREKSİNİM DOKÜMANI</w:t>
      </w:r>
    </w:p>
    <w:p>
      <w:pPr>
        <w:pStyle w:val="Title"/>
        <w:spacing w:after="80"/>
      </w:pPr>
      <w:r>
        <w:rPr>
          <w:rFonts w:ascii="Calibri" w:hAnsi="Calibri" w:eastAsia="Calibri"/>
          <w:b/>
          <w:color w:val="0B2545"/>
          <w:sz w:val="52"/>
        </w:rPr>
        <w:t>3E CBAM COMPLIANCE CLOUD</w:t>
      </w:r>
    </w:p>
    <w:p>
      <w:pPr>
        <w:pStyle w:val="Subtitle"/>
        <w:spacing w:after="100"/>
      </w:pPr>
      <w:r>
        <w:rPr>
          <w:rFonts w:ascii="Calibri" w:hAnsi="Calibri" w:eastAsia="Calibri"/>
          <w:color w:val="667085"/>
          <w:sz w:val="27"/>
        </w:rPr>
        <w:t>Sistem Analizi, Algoritma Tasarımı ve 8 Haftalık MVP Geliştirme Programı</w:t>
      </w:r>
    </w:p>
    <w:p>
      <w:pPr>
        <w:keepNext w:val="0"/>
        <w:spacing w:before="0" w:after="320" w:line="300" w:lineRule="auto"/>
        <w:jc w:val="left"/>
      </w:pPr>
      <w:r>
        <w:rPr>
          <w:rFonts w:ascii="Calibri" w:hAnsi="Calibri" w:eastAsia="Calibri"/>
          <w:b w:val="0"/>
          <w:i/>
          <w:color w:val="1F4D78"/>
          <w:sz w:val="20"/>
        </w:rPr>
        <w:t>Yazılım ekibine teslim edilecek fonksiyonel, teknik, mevzuat ve kabul kriterleri dosyası</w:t>
      </w:r>
    </w:p>
    <w:tbl>
      <w:tblPr>
        <w:tblStyle w:val="TableGrid"/>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2000"/>
        <w:gridCol w:w="7360"/>
      </w:tblGrid>
      <w:tr>
        <w:trPr>
          <w:tblHeader w:val="true"/>
        </w:trPr>
        <w:tc>
          <w:tcPr>
            <w:tcW w:type="dxa" w:w="2000"/>
            <w:shd w:fill="F2F4F7"/>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8"/>
              </w:rPr>
              <w:t>Alan</w:t>
            </w:r>
          </w:p>
        </w:tc>
        <w:tc>
          <w:tcPr>
            <w:tcW w:type="dxa" w:w="7360"/>
            <w:shd w:fill="F2F4F7"/>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8"/>
              </w:rPr>
              <w:t>Değer</w:t>
            </w:r>
          </w:p>
        </w:tc>
      </w:tr>
      <w:tr>
        <w:tc>
          <w:tcPr>
            <w:tcW w:type="dxa" w:w="2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8"/>
              </w:rPr>
              <w:t>Doküman kodu</w:t>
            </w:r>
          </w:p>
        </w:tc>
        <w:tc>
          <w:tcPr>
            <w:tcW w:type="dxa" w:w="73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8"/>
              </w:rPr>
              <w:t>3E-CBAM-PRD-001</w:t>
            </w:r>
          </w:p>
        </w:tc>
      </w:tr>
      <w:tr>
        <w:tc>
          <w:tcPr>
            <w:tcW w:type="dxa" w:w="2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8"/>
              </w:rPr>
              <w:t>Sürüm</w:t>
            </w:r>
          </w:p>
        </w:tc>
        <w:tc>
          <w:tcPr>
            <w:tcW w:type="dxa" w:w="73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8"/>
              </w:rPr>
              <w:t>v1.0</w:t>
            </w:r>
          </w:p>
        </w:tc>
      </w:tr>
      <w:tr>
        <w:tc>
          <w:tcPr>
            <w:tcW w:type="dxa" w:w="2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8"/>
              </w:rPr>
              <w:t>Tarih</w:t>
            </w:r>
          </w:p>
        </w:tc>
        <w:tc>
          <w:tcPr>
            <w:tcW w:type="dxa" w:w="73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8"/>
              </w:rPr>
              <w:t>24 Temmuz 2026</w:t>
            </w:r>
          </w:p>
        </w:tc>
      </w:tr>
      <w:tr>
        <w:tc>
          <w:tcPr>
            <w:tcW w:type="dxa" w:w="2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8"/>
              </w:rPr>
              <w:t>Önerilen geliştirme dönemi</w:t>
            </w:r>
          </w:p>
        </w:tc>
        <w:tc>
          <w:tcPr>
            <w:tcW w:type="dxa" w:w="73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8"/>
              </w:rPr>
              <w:t>27 Temmuz – 18 Eylül 2026 | 8 hafta</w:t>
            </w:r>
          </w:p>
        </w:tc>
      </w:tr>
      <w:tr>
        <w:tc>
          <w:tcPr>
            <w:tcW w:type="dxa" w:w="2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8"/>
              </w:rPr>
              <w:t>Ürün</w:t>
            </w:r>
          </w:p>
        </w:tc>
        <w:tc>
          <w:tcPr>
            <w:tcW w:type="dxa" w:w="73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8"/>
              </w:rPr>
              <w:t>3E CBAM Compliance Cloud</w:t>
            </w:r>
          </w:p>
        </w:tc>
      </w:tr>
      <w:tr>
        <w:tc>
          <w:tcPr>
            <w:tcW w:type="dxa" w:w="2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8"/>
              </w:rPr>
              <w:t>Gizlilik</w:t>
            </w:r>
          </w:p>
        </w:tc>
        <w:tc>
          <w:tcPr>
            <w:tcW w:type="dxa" w:w="73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8"/>
              </w:rPr>
              <w:t>3E Group iç kullanım / kontrollü müşteri paylaşımı</w:t>
            </w:r>
          </w:p>
        </w:tc>
      </w:tr>
      <w:tr>
        <w:tc>
          <w:tcPr>
            <w:tcW w:type="dxa" w:w="2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8"/>
              </w:rPr>
              <w:t>Hedef okuyucu</w:t>
            </w:r>
          </w:p>
        </w:tc>
        <w:tc>
          <w:tcPr>
            <w:tcW w:type="dxa" w:w="73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8"/>
              </w:rPr>
              <w:t>Ürün yöneticisi, iş analisti, geliştirici, QA, karbon ve CBAM uzmanı</w:t>
            </w:r>
          </w:p>
        </w:tc>
      </w:tr>
    </w:tbl>
    <w:p>
      <w:pPr>
        <w:spacing w:after="40"/>
      </w:pPr>
    </w:p>
    <w:tbl>
      <w:tblPr>
        <w:tblW w:type="dxa" w:w="9360"/>
        <w:jc w:val="left"/>
        <w:tblLayout w:type="fixed"/>
        <w:tblLook w:firstColumn="1" w:firstRow="1" w:lastColumn="0" w:lastRow="0" w:noHBand="0" w:noVBand="1" w:val="04A0"/>
        <w:tblInd w:w="120" w:type="dxa"/>
        <w:tblBorders>
          <w:top w:val="single" w:sz="8" w:space="0" w:color="B8C2CC"/>
          <w:left w:val="single" w:sz="8" w:space="0" w:color="B8C2CC"/>
          <w:bottom w:val="single" w:sz="8" w:space="0" w:color="B8C2CC"/>
          <w:right w:val="single" w:sz="8" w:space="0" w:color="B8C2CC"/>
          <w:insideH w:val="single" w:sz="8" w:space="0" w:color="B8C2CC"/>
          <w:insideV w:val="single" w:sz="8" w:space="0" w:color="B8C2CC"/>
        </w:tblBorders>
      </w:tblPr>
      <w:tblGrid>
        <w:gridCol w:w="9360"/>
      </w:tblGrid>
      <w:tr>
        <w:trPr>
          <w:cantSplit/>
        </w:trPr>
        <w:tc>
          <w:tcPr>
            <w:tcW w:type="dxa" w:w="9360"/>
            <w:shd w:fill="F4F6F9"/>
            <w:tcMar>
              <w:top w:w="140" w:type="dxa"/>
              <w:start w:w="180" w:type="dxa"/>
              <w:bottom w:w="140" w:type="dxa"/>
              <w:end w:w="180" w:type="dxa"/>
            </w:tcMar>
            <w:vAlign w:val="center"/>
          </w:tcPr>
          <w:p>
            <w:pPr>
              <w:spacing w:after="0" w:line="276" w:lineRule="auto"/>
            </w:pPr>
            <w:r/>
            <w:r>
              <w:rPr>
                <w:rFonts w:ascii="Calibri" w:hAnsi="Calibri" w:eastAsia="Calibri"/>
                <w:b/>
                <w:color w:val="0B2545"/>
                <w:sz w:val="20"/>
              </w:rPr>
              <w:t xml:space="preserve">Dokümanın amacı: </w:t>
            </w:r>
            <w:r>
              <w:rPr>
                <w:rFonts w:ascii="Calibri" w:hAnsi="Calibri" w:eastAsia="Calibri"/>
                <w:color w:val="111111"/>
                <w:sz w:val="20"/>
              </w:rPr>
              <w:t>Bu dosya yalnız Avrupa Birliği CBAM kesin dönem uyum yazılımının sekiz haftada geliştirilecek MVP kapsamını tanımlar. Hukuk görüşü veya yetkili makam adına uygunluk garantisi değildir. Her kapsam, emisyon ve mali yükümlülük sonucu sürümlü kural, hesap izi, kanıt ve yetkili onayıyla izlenmelidir.</w:t>
            </w:r>
          </w:p>
        </w:tc>
      </w:tr>
    </w:tbl>
    <w:p>
      <w:pPr>
        <w:keepNext w:val="0"/>
        <w:spacing w:before="0" w:after="40" w:line="300" w:lineRule="auto"/>
        <w:jc w:val="left"/>
      </w:pPr>
      <w:r>
        <w:rPr>
          <w:rFonts w:ascii="Calibri" w:hAnsi="Calibri" w:eastAsia="Calibri"/>
          <w:b w:val="0"/>
          <w:i w:val="0"/>
          <w:color w:val="111111"/>
          <w:sz w:val="22"/>
        </w:rPr>
      </w:r>
    </w:p>
    <w:p>
      <w:pPr>
        <w:keepNext w:val="0"/>
        <w:spacing w:before="200" w:after="0" w:line="300" w:lineRule="auto"/>
        <w:jc w:val="center"/>
      </w:pPr>
      <w:r>
        <w:rPr>
          <w:rFonts w:ascii="Calibri" w:hAnsi="Calibri" w:eastAsia="Calibri"/>
          <w:b w:val="0"/>
          <w:i/>
          <w:color w:val="667085"/>
          <w:sz w:val="17"/>
        </w:rPr>
        <w:t>3E Group • 3E Teknoloji • Sürdürülebilirlik ve Karbon Yönetimi</w:t>
      </w:r>
    </w:p>
    <w:p>
      <w:r>
        <w:br w:type="page"/>
      </w:r>
    </w:p>
    <w:p>
      <w:pPr>
        <w:pStyle w:val="Heading1"/>
        <w:keepNext/>
      </w:pPr>
      <w:r>
        <w:t>Doküman Kontrolü</w:t>
      </w:r>
    </w:p>
    <w:tbl>
      <w:tblPr>
        <w:tblStyle w:val="TableGrid"/>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850"/>
        <w:gridCol w:w="1300"/>
        <w:gridCol w:w="3600"/>
        <w:gridCol w:w="1850"/>
        <w:gridCol w:w="1760"/>
      </w:tblGrid>
      <w:tr>
        <w:trPr>
          <w:tblHeader w:val="true"/>
        </w:trPr>
        <w:tc>
          <w:tcPr>
            <w:tcW w:type="dxa" w:w="85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7"/>
              </w:rPr>
              <w:t>Sürüm</w:t>
            </w:r>
          </w:p>
        </w:tc>
        <w:tc>
          <w:tcPr>
            <w:tcW w:type="dxa" w:w="13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7"/>
              </w:rPr>
              <w:t>Tarih</w:t>
            </w:r>
          </w:p>
        </w:tc>
        <w:tc>
          <w:tcPr>
            <w:tcW w:type="dxa" w:w="36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7"/>
              </w:rPr>
              <w:t>Değişiklik</w:t>
            </w:r>
          </w:p>
        </w:tc>
        <w:tc>
          <w:tcPr>
            <w:tcW w:type="dxa" w:w="185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7"/>
              </w:rPr>
              <w:t>Hazırlayan</w:t>
            </w:r>
          </w:p>
        </w:tc>
        <w:tc>
          <w:tcPr>
            <w:tcW w:type="dxa" w:w="176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7"/>
              </w:rPr>
              <w:t>Onay</w:t>
            </w:r>
          </w:p>
        </w:tc>
      </w:tr>
      <w:tr>
        <w:tc>
          <w:tcPr>
            <w:tcW w:type="dxa" w:w="85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7"/>
              </w:rPr>
              <w:t>0.1</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7"/>
              </w:rPr>
              <w:t>24.07.2026</w:t>
            </w:r>
          </w:p>
        </w:tc>
        <w:tc>
          <w:tcPr>
            <w:tcW w:type="dxa" w:w="3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CBAM’a özel ilk sistem taslağı</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3E Group</w:t>
            </w:r>
          </w:p>
        </w:tc>
        <w:tc>
          <w:tcPr>
            <w:tcW w:type="dxa" w:w="17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7"/>
              </w:rPr>
              <w:t>Bekliyor</w:t>
            </w:r>
          </w:p>
        </w:tc>
      </w:tr>
      <w:tr>
        <w:tc>
          <w:tcPr>
            <w:tcW w:type="dxa" w:w="85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7"/>
              </w:rPr>
              <w:t>1.0</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7"/>
              </w:rPr>
              <w:t>Yayın tarihinde</w:t>
            </w:r>
          </w:p>
        </w:tc>
        <w:tc>
          <w:tcPr>
            <w:tcW w:type="dxa" w:w="3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Teknik ve mevzuat kabulü sonrası MVP baz çizgisi</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3E Group</w:t>
            </w:r>
          </w:p>
        </w:tc>
        <w:tc>
          <w:tcPr>
            <w:tcW w:type="dxa" w:w="17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7"/>
              </w:rPr>
              <w:t>Bekliyor</w:t>
            </w:r>
          </w:p>
        </w:tc>
      </w:tr>
    </w:tbl>
    <w:p>
      <w:pPr>
        <w:spacing w:after="40"/>
      </w:pPr>
    </w:p>
    <w:p>
      <w:pPr>
        <w:pStyle w:val="Heading2"/>
        <w:keepNext/>
      </w:pPr>
      <w:r>
        <w:t>Kullanım ve Değişiklik Yönetimi</w:t>
      </w:r>
    </w:p>
    <w:p>
      <w:pPr>
        <w:numPr>
          <w:ilvl w:val="0"/>
          <w:numId w:val="10"/>
        </w:numPr>
        <w:spacing w:after="80" w:line="300" w:lineRule="auto"/>
      </w:pPr>
      <w:r>
        <w:rPr>
          <w:rFonts w:ascii="Calibri" w:hAnsi="Calibri" w:eastAsia="Calibri"/>
          <w:color w:val="111111"/>
          <w:sz w:val="22"/>
        </w:rPr>
        <w:t>Her iş kuralı benzersiz rule_id, resmî kaynak, yürürlük başlangıç/bitiş tarihi ve rule_set_version ile saklanacaktır.</w:t>
      </w:r>
    </w:p>
    <w:p>
      <w:pPr>
        <w:numPr>
          <w:ilvl w:val="0"/>
          <w:numId w:val="10"/>
        </w:numPr>
        <w:spacing w:after="80" w:line="300" w:lineRule="auto"/>
      </w:pPr>
      <w:r>
        <w:rPr>
          <w:rFonts w:ascii="Calibri" w:hAnsi="Calibri" w:eastAsia="Calibri"/>
          <w:color w:val="111111"/>
          <w:sz w:val="22"/>
        </w:rPr>
        <w:t>Mevzuat, varsayılan değer, benchmark veya sertifika fiyatı değişikliği yeni veri/kural sürümü oluşturacaktır.</w:t>
      </w:r>
    </w:p>
    <w:p>
      <w:pPr>
        <w:numPr>
          <w:ilvl w:val="0"/>
          <w:numId w:val="10"/>
        </w:numPr>
        <w:spacing w:after="80" w:line="300" w:lineRule="auto"/>
      </w:pPr>
      <w:r>
        <w:rPr>
          <w:rFonts w:ascii="Calibri" w:hAnsi="Calibri" w:eastAsia="Calibri"/>
          <w:color w:val="111111"/>
          <w:sz w:val="22"/>
        </w:rPr>
        <w:t>Onaylı hesap ve beyan snapshot’ı geriye dönük yeniden yazılmayacak; düzeltme yeni versiyon ve gerekçeyle yapılacaktır.</w:t>
      </w:r>
    </w:p>
    <w:p>
      <w:pPr>
        <w:numPr>
          <w:ilvl w:val="0"/>
          <w:numId w:val="10"/>
        </w:numPr>
        <w:spacing w:after="80" w:line="300" w:lineRule="auto"/>
      </w:pPr>
      <w:r>
        <w:rPr>
          <w:rFonts w:ascii="Calibri" w:hAnsi="Calibri" w:eastAsia="Calibri"/>
          <w:color w:val="111111"/>
          <w:sz w:val="22"/>
        </w:rPr>
        <w:t>Belirsiz CN sınıflandırması, menşe, tesis, proses, emisyon, doğrulama veya karbon bedeli sonucu uzman kuyruğuna gidecektir.</w:t>
      </w:r>
    </w:p>
    <w:p>
      <w:pPr>
        <w:numPr>
          <w:ilvl w:val="0"/>
          <w:numId w:val="10"/>
        </w:numPr>
        <w:spacing w:after="80" w:line="300" w:lineRule="auto"/>
      </w:pPr>
      <w:r>
        <w:rPr>
          <w:rFonts w:ascii="Calibri" w:hAnsi="Calibri" w:eastAsia="Calibri"/>
          <w:color w:val="111111"/>
          <w:sz w:val="22"/>
        </w:rPr>
        <w:t>MVP kabulü; çalışan yazılım, otomatik test, mevzuat UAT, pilot veri, güvenlik kanıtı ve işletim dokümanını birlikte gerektirir.</w:t>
      </w:r>
    </w:p>
    <w:p>
      <w:pPr>
        <w:pStyle w:val="Heading1"/>
        <w:keepNext/>
      </w:pPr>
      <w:r>
        <w:t>İçindekiler</w:t>
      </w:r>
    </w:p>
    <w:p>
      <w:pPr>
        <w:keepNext w:val="0"/>
        <w:spacing w:before="0" w:after="44" w:line="300" w:lineRule="auto"/>
        <w:jc w:val="left"/>
      </w:pPr>
      <w:r>
        <w:rPr>
          <w:rFonts w:ascii="Calibri" w:hAnsi="Calibri" w:eastAsia="Calibri"/>
          <w:b w:val="0"/>
          <w:i w:val="0"/>
          <w:color w:val="1F4D78"/>
          <w:sz w:val="18"/>
        </w:rPr>
        <w:t>1. Yönetici Özeti</w:t>
      </w:r>
    </w:p>
    <w:p>
      <w:pPr>
        <w:keepNext w:val="0"/>
        <w:spacing w:before="0" w:after="44" w:line="300" w:lineRule="auto"/>
        <w:jc w:val="left"/>
      </w:pPr>
      <w:r>
        <w:rPr>
          <w:rFonts w:ascii="Calibri" w:hAnsi="Calibri" w:eastAsia="Calibri"/>
          <w:b w:val="0"/>
          <w:i w:val="0"/>
          <w:color w:val="1F4D78"/>
          <w:sz w:val="18"/>
        </w:rPr>
        <w:t>2. Mevzuat Temeli ve Ürün İlkeleri</w:t>
      </w:r>
    </w:p>
    <w:p>
      <w:pPr>
        <w:keepNext w:val="0"/>
        <w:spacing w:before="0" w:after="44" w:line="300" w:lineRule="auto"/>
        <w:jc w:val="left"/>
      </w:pPr>
      <w:r>
        <w:rPr>
          <w:rFonts w:ascii="Calibri" w:hAnsi="Calibri" w:eastAsia="Calibri"/>
          <w:b w:val="0"/>
          <w:i w:val="0"/>
          <w:color w:val="1F4D78"/>
          <w:sz w:val="18"/>
        </w:rPr>
        <w:t>3. Kapsam, MVP Sınırları ve Varsayımlar</w:t>
      </w:r>
    </w:p>
    <w:p>
      <w:pPr>
        <w:keepNext w:val="0"/>
        <w:spacing w:before="0" w:after="44" w:line="300" w:lineRule="auto"/>
        <w:jc w:val="left"/>
      </w:pPr>
      <w:r>
        <w:rPr>
          <w:rFonts w:ascii="Calibri" w:hAnsi="Calibri" w:eastAsia="Calibri"/>
          <w:b w:val="0"/>
          <w:i w:val="0"/>
          <w:color w:val="1F4D78"/>
          <w:sz w:val="18"/>
        </w:rPr>
        <w:t>4. Paydaşlar, Kullanıcılar ve Yetkiler</w:t>
      </w:r>
    </w:p>
    <w:p>
      <w:pPr>
        <w:keepNext w:val="0"/>
        <w:spacing w:before="0" w:after="44" w:line="300" w:lineRule="auto"/>
        <w:jc w:val="left"/>
      </w:pPr>
      <w:r>
        <w:rPr>
          <w:rFonts w:ascii="Calibri" w:hAnsi="Calibri" w:eastAsia="Calibri"/>
          <w:b w:val="0"/>
          <w:i w:val="0"/>
          <w:color w:val="1F4D78"/>
          <w:sz w:val="18"/>
        </w:rPr>
        <w:t>5. Sistem Bağlamı ve Teknik Mimari</w:t>
      </w:r>
    </w:p>
    <w:p>
      <w:pPr>
        <w:keepNext w:val="0"/>
        <w:spacing w:before="0" w:after="44" w:line="300" w:lineRule="auto"/>
        <w:jc w:val="left"/>
      </w:pPr>
      <w:r>
        <w:rPr>
          <w:rFonts w:ascii="Calibri" w:hAnsi="Calibri" w:eastAsia="Calibri"/>
          <w:b w:val="0"/>
          <w:i w:val="0"/>
          <w:color w:val="1F4D78"/>
          <w:sz w:val="18"/>
        </w:rPr>
        <w:t>6. Fonksiyonel Modüller ve Gereksinimler</w:t>
      </w:r>
    </w:p>
    <w:p>
      <w:pPr>
        <w:keepNext w:val="0"/>
        <w:spacing w:before="0" w:after="44" w:line="300" w:lineRule="auto"/>
        <w:jc w:val="left"/>
      </w:pPr>
      <w:r>
        <w:rPr>
          <w:rFonts w:ascii="Calibri" w:hAnsi="Calibri" w:eastAsia="Calibri"/>
          <w:b w:val="0"/>
          <w:i w:val="0"/>
          <w:color w:val="1F4D78"/>
          <w:sz w:val="18"/>
        </w:rPr>
        <w:t>7. Uçtan Uca CBAM İş Akışları</w:t>
      </w:r>
    </w:p>
    <w:p>
      <w:pPr>
        <w:keepNext w:val="0"/>
        <w:spacing w:before="0" w:after="44" w:line="300" w:lineRule="auto"/>
        <w:jc w:val="left"/>
      </w:pPr>
      <w:r>
        <w:rPr>
          <w:rFonts w:ascii="Calibri" w:hAnsi="Calibri" w:eastAsia="Calibri"/>
          <w:b w:val="0"/>
          <w:i w:val="0"/>
          <w:color w:val="1F4D78"/>
          <w:sz w:val="18"/>
        </w:rPr>
        <w:t>8. Kural, Emisyon ve Yükümlülük Motorları</w:t>
      </w:r>
    </w:p>
    <w:p>
      <w:pPr>
        <w:keepNext w:val="0"/>
        <w:spacing w:before="0" w:after="44" w:line="300" w:lineRule="auto"/>
        <w:jc w:val="left"/>
      </w:pPr>
      <w:r>
        <w:rPr>
          <w:rFonts w:ascii="Calibri" w:hAnsi="Calibri" w:eastAsia="Calibri"/>
          <w:b w:val="0"/>
          <w:i w:val="0"/>
          <w:color w:val="1F4D78"/>
          <w:sz w:val="18"/>
        </w:rPr>
        <w:t>9. Veri Modeli ve Veri Sözlüğü</w:t>
      </w:r>
    </w:p>
    <w:p>
      <w:pPr>
        <w:keepNext w:val="0"/>
        <w:spacing w:before="0" w:after="44" w:line="300" w:lineRule="auto"/>
        <w:jc w:val="left"/>
      </w:pPr>
      <w:r>
        <w:rPr>
          <w:rFonts w:ascii="Calibri" w:hAnsi="Calibri" w:eastAsia="Calibri"/>
          <w:b w:val="0"/>
          <w:i w:val="0"/>
          <w:color w:val="1F4D78"/>
          <w:sz w:val="18"/>
        </w:rPr>
        <w:t>10. API ve Entegrasyon Tasarımı</w:t>
      </w:r>
    </w:p>
    <w:p>
      <w:pPr>
        <w:keepNext w:val="0"/>
        <w:spacing w:before="0" w:after="44" w:line="300" w:lineRule="auto"/>
        <w:jc w:val="left"/>
      </w:pPr>
      <w:r>
        <w:rPr>
          <w:rFonts w:ascii="Calibri" w:hAnsi="Calibri" w:eastAsia="Calibri"/>
          <w:b w:val="0"/>
          <w:i w:val="0"/>
          <w:color w:val="1F4D78"/>
          <w:sz w:val="18"/>
        </w:rPr>
        <w:t>11. Ekran Envanteri ve Kullanıcı Deneyimi</w:t>
      </w:r>
    </w:p>
    <w:p>
      <w:pPr>
        <w:keepNext w:val="0"/>
        <w:spacing w:before="0" w:after="44" w:line="300" w:lineRule="auto"/>
        <w:jc w:val="left"/>
      </w:pPr>
      <w:r>
        <w:rPr>
          <w:rFonts w:ascii="Calibri" w:hAnsi="Calibri" w:eastAsia="Calibri"/>
          <w:b w:val="0"/>
          <w:i w:val="0"/>
          <w:color w:val="1F4D78"/>
          <w:sz w:val="18"/>
        </w:rPr>
        <w:t>12. Güvenlik ve Fonksiyonel Olmayan Gereksinimler</w:t>
      </w:r>
    </w:p>
    <w:p>
      <w:pPr>
        <w:keepNext w:val="0"/>
        <w:spacing w:before="0" w:after="44" w:line="300" w:lineRule="auto"/>
        <w:jc w:val="left"/>
      </w:pPr>
      <w:r>
        <w:rPr>
          <w:rFonts w:ascii="Calibri" w:hAnsi="Calibri" w:eastAsia="Calibri"/>
          <w:b w:val="0"/>
          <w:i w:val="0"/>
          <w:color w:val="1F4D78"/>
          <w:sz w:val="18"/>
        </w:rPr>
        <w:t>13. Denetim İzi, Kanıt ve Saklama</w:t>
      </w:r>
    </w:p>
    <w:p>
      <w:pPr>
        <w:keepNext w:val="0"/>
        <w:spacing w:before="0" w:after="44" w:line="300" w:lineRule="auto"/>
        <w:jc w:val="left"/>
      </w:pPr>
      <w:r>
        <w:rPr>
          <w:rFonts w:ascii="Calibri" w:hAnsi="Calibri" w:eastAsia="Calibri"/>
          <w:b w:val="0"/>
          <w:i w:val="0"/>
          <w:color w:val="1F4D78"/>
          <w:sz w:val="18"/>
        </w:rPr>
        <w:t>14. KPI, Kontrol Kulesi ve Raporlama</w:t>
      </w:r>
    </w:p>
    <w:p>
      <w:pPr>
        <w:keepNext w:val="0"/>
        <w:spacing w:before="0" w:after="44" w:line="300" w:lineRule="auto"/>
        <w:jc w:val="left"/>
      </w:pPr>
      <w:r>
        <w:rPr>
          <w:rFonts w:ascii="Calibri" w:hAnsi="Calibri" w:eastAsia="Calibri"/>
          <w:b w:val="0"/>
          <w:i w:val="0"/>
          <w:color w:val="1F4D78"/>
          <w:sz w:val="18"/>
        </w:rPr>
        <w:t>15. Hata, İstisna ve Sınır Durumları</w:t>
      </w:r>
    </w:p>
    <w:p>
      <w:pPr>
        <w:keepNext w:val="0"/>
        <w:spacing w:before="0" w:after="44" w:line="300" w:lineRule="auto"/>
        <w:jc w:val="left"/>
      </w:pPr>
      <w:r>
        <w:rPr>
          <w:rFonts w:ascii="Calibri" w:hAnsi="Calibri" w:eastAsia="Calibri"/>
          <w:b w:val="0"/>
          <w:i w:val="0"/>
          <w:color w:val="1F4D78"/>
          <w:sz w:val="18"/>
        </w:rPr>
        <w:t>16. Test Senaryoları ve Kabul Kriterleri</w:t>
      </w:r>
    </w:p>
    <w:p>
      <w:pPr>
        <w:keepNext w:val="0"/>
        <w:spacing w:before="0" w:after="44" w:line="300" w:lineRule="auto"/>
        <w:jc w:val="left"/>
      </w:pPr>
      <w:r>
        <w:rPr>
          <w:rFonts w:ascii="Calibri" w:hAnsi="Calibri" w:eastAsia="Calibri"/>
          <w:b w:val="0"/>
          <w:i w:val="0"/>
          <w:color w:val="1F4D78"/>
          <w:sz w:val="18"/>
        </w:rPr>
        <w:t>17. Sekiz Haftalık Geliştirme Programı</w:t>
      </w:r>
    </w:p>
    <w:p>
      <w:pPr>
        <w:keepNext w:val="0"/>
        <w:spacing w:before="0" w:after="44" w:line="300" w:lineRule="auto"/>
        <w:jc w:val="left"/>
      </w:pPr>
      <w:r>
        <w:rPr>
          <w:rFonts w:ascii="Calibri" w:hAnsi="Calibri" w:eastAsia="Calibri"/>
          <w:b w:val="0"/>
          <w:i w:val="0"/>
          <w:color w:val="1F4D78"/>
          <w:sz w:val="18"/>
        </w:rPr>
        <w:t>18. RACI, Ekip ve Yönetişim</w:t>
      </w:r>
    </w:p>
    <w:p>
      <w:pPr>
        <w:keepNext w:val="0"/>
        <w:spacing w:before="0" w:after="44" w:line="300" w:lineRule="auto"/>
        <w:jc w:val="left"/>
      </w:pPr>
      <w:r>
        <w:rPr>
          <w:rFonts w:ascii="Calibri" w:hAnsi="Calibri" w:eastAsia="Calibri"/>
          <w:b w:val="0"/>
          <w:i w:val="0"/>
          <w:color w:val="1F4D78"/>
          <w:sz w:val="18"/>
        </w:rPr>
        <w:t>19. DevOps, Yayına Alma ve Hypercare</w:t>
      </w:r>
    </w:p>
    <w:p>
      <w:pPr>
        <w:keepNext w:val="0"/>
        <w:spacing w:before="0" w:after="44" w:line="300" w:lineRule="auto"/>
        <w:jc w:val="left"/>
      </w:pPr>
      <w:r>
        <w:rPr>
          <w:rFonts w:ascii="Calibri" w:hAnsi="Calibri" w:eastAsia="Calibri"/>
          <w:b w:val="0"/>
          <w:i w:val="0"/>
          <w:color w:val="1F4D78"/>
          <w:sz w:val="18"/>
        </w:rPr>
        <w:t>20. Açık Kararlar ve Teslim Kontrolü</w:t>
      </w:r>
    </w:p>
    <w:p>
      <w:pPr>
        <w:keepNext w:val="0"/>
        <w:spacing w:before="0" w:after="44" w:line="300" w:lineRule="auto"/>
        <w:jc w:val="left"/>
      </w:pPr>
      <w:r>
        <w:rPr>
          <w:rFonts w:ascii="Calibri" w:hAnsi="Calibri" w:eastAsia="Calibri"/>
          <w:b w:val="0"/>
          <w:i w:val="0"/>
          <w:color w:val="1F4D78"/>
          <w:sz w:val="18"/>
        </w:rPr>
        <w:t>Ek A. Örnek JSON Sözleşmeleri</w:t>
      </w:r>
    </w:p>
    <w:p>
      <w:pPr>
        <w:keepNext w:val="0"/>
        <w:spacing w:before="0" w:after="44" w:line="300" w:lineRule="auto"/>
        <w:jc w:val="left"/>
      </w:pPr>
      <w:r>
        <w:rPr>
          <w:rFonts w:ascii="Calibri" w:hAnsi="Calibri" w:eastAsia="Calibri"/>
          <w:b w:val="0"/>
          <w:i w:val="0"/>
          <w:color w:val="1F4D78"/>
          <w:sz w:val="18"/>
        </w:rPr>
        <w:t>Ek B. Durum ve Olay Kataloğu</w:t>
      </w:r>
    </w:p>
    <w:p>
      <w:pPr>
        <w:keepNext w:val="0"/>
        <w:spacing w:before="0" w:after="44" w:line="300" w:lineRule="auto"/>
        <w:jc w:val="left"/>
      </w:pPr>
      <w:r>
        <w:rPr>
          <w:rFonts w:ascii="Calibri" w:hAnsi="Calibri" w:eastAsia="Calibri"/>
          <w:b w:val="0"/>
          <w:i w:val="0"/>
          <w:color w:val="1F4D78"/>
          <w:sz w:val="18"/>
        </w:rPr>
        <w:t>Ek C. Resmî Kaynaklar</w:t>
      </w:r>
    </w:p>
    <w:p>
      <w:pPr>
        <w:pStyle w:val="Heading1"/>
        <w:keepNext/>
      </w:pPr>
      <w:r>
        <w:t>1. Yönetici Özeti</w:t>
      </w:r>
    </w:p>
    <w:p>
      <w:pPr>
        <w:keepNext w:val="0"/>
        <w:spacing w:before="0" w:after="120" w:line="300" w:lineRule="auto"/>
        <w:jc w:val="left"/>
      </w:pPr>
      <w:r>
        <w:rPr>
          <w:rFonts w:ascii="Calibri" w:hAnsi="Calibri" w:eastAsia="Calibri"/>
          <w:b w:val="0"/>
          <w:i w:val="0"/>
          <w:color w:val="111111"/>
          <w:sz w:val="22"/>
        </w:rPr>
        <w:t>3E CBAM Compliance Cloud; ithalat satırı, ürün/CN kodu, menşe, tedarikçi, üçüncü ülke operatörü, tesis, üretim prosesi, öncül malzeme, gömülü emisyon, doğrulama, ücretsiz tahsis düzeltmesi, üçüncü ülkede ödenen karbon bedeli ve sertifika maliyetini tek bir denetlenebilir veri omurgasında yönetir.</w:t>
      </w:r>
    </w:p>
    <w:tbl>
      <w:tblPr>
        <w:tblW w:type="dxa" w:w="9360"/>
        <w:jc w:val="left"/>
        <w:tblLayout w:type="fixed"/>
        <w:tblLook w:firstColumn="1" w:firstRow="1" w:lastColumn="0" w:lastRow="0" w:noHBand="0" w:noVBand="1" w:val="04A0"/>
        <w:tblInd w:w="120" w:type="dxa"/>
        <w:tblBorders>
          <w:top w:val="single" w:sz="8" w:space="0" w:color="7AA37A"/>
          <w:left w:val="single" w:sz="8" w:space="0" w:color="7AA37A"/>
          <w:bottom w:val="single" w:sz="8" w:space="0" w:color="7AA37A"/>
          <w:right w:val="single" w:sz="8" w:space="0" w:color="7AA37A"/>
          <w:insideH w:val="single" w:sz="8" w:space="0" w:color="7AA37A"/>
          <w:insideV w:val="single" w:sz="8" w:space="0" w:color="7AA37A"/>
        </w:tblBorders>
      </w:tblPr>
      <w:tblGrid>
        <w:gridCol w:w="9360"/>
      </w:tblGrid>
      <w:tr>
        <w:trPr>
          <w:cantSplit/>
        </w:trPr>
        <w:tc>
          <w:tcPr>
            <w:tcW w:type="dxa" w:w="9360"/>
            <w:shd w:fill="E8F3E8"/>
            <w:tcMar>
              <w:top w:w="140" w:type="dxa"/>
              <w:start w:w="180" w:type="dxa"/>
              <w:bottom w:w="140" w:type="dxa"/>
              <w:end w:w="180" w:type="dxa"/>
            </w:tcMar>
            <w:vAlign w:val="center"/>
          </w:tcPr>
          <w:p>
            <w:pPr>
              <w:spacing w:after="0" w:line="276" w:lineRule="auto"/>
            </w:pPr>
            <w:r/>
            <w:r>
              <w:rPr>
                <w:rFonts w:ascii="Calibri" w:hAnsi="Calibri" w:eastAsia="Calibri"/>
                <w:b/>
                <w:color w:val="0B2545"/>
                <w:sz w:val="20"/>
              </w:rPr>
              <w:t xml:space="preserve">Temel ürün kararı: </w:t>
            </w:r>
            <w:r>
              <w:rPr>
                <w:rFonts w:ascii="Calibri" w:hAnsi="Calibri" w:eastAsia="Calibri"/>
                <w:color w:val="111111"/>
                <w:sz w:val="20"/>
              </w:rPr>
              <w:t>MVP, resmî CBAM Sicilinin yerine geçmez. Kurum içi kapsam ve 50 ton eşiği takibi, tedarikçi veri toplama, emisyon hesaplama, doğrulama hazırlığı, sertifika/maliyet projeksiyonu ve yıllık beyan çalışma dosyasını üretir. Resmî sicil işlemleri, yayımlanmış teknik arayüz bulunana kadar kontrollü dışa aktarım ve manuel teyitle yürütülür.</w:t>
            </w:r>
          </w:p>
        </w:tc>
      </w:tr>
    </w:tbl>
    <w:p>
      <w:pPr>
        <w:keepNext w:val="0"/>
        <w:spacing w:before="0" w:after="40" w:line="300" w:lineRule="auto"/>
        <w:jc w:val="left"/>
      </w:pPr>
      <w:r>
        <w:rPr>
          <w:rFonts w:ascii="Calibri" w:hAnsi="Calibri" w:eastAsia="Calibri"/>
          <w:b w:val="0"/>
          <w:i w:val="0"/>
          <w:color w:val="111111"/>
          <w:sz w:val="22"/>
        </w:rPr>
      </w:r>
    </w:p>
    <w:tbl>
      <w:tblPr>
        <w:tblStyle w:val="TableGrid"/>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1650"/>
        <w:gridCol w:w="4250"/>
        <w:gridCol w:w="3460"/>
      </w:tblGrid>
      <w:tr>
        <w:trPr>
          <w:tblHeader w:val="true"/>
        </w:trPr>
        <w:tc>
          <w:tcPr>
            <w:tcW w:type="dxa" w:w="165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7"/>
              </w:rPr>
              <w:t>Hedef</w:t>
            </w:r>
          </w:p>
        </w:tc>
        <w:tc>
          <w:tcPr>
            <w:tcW w:type="dxa" w:w="425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7"/>
              </w:rPr>
              <w:t>MVP başarı göstergesi</w:t>
            </w:r>
          </w:p>
        </w:tc>
        <w:tc>
          <w:tcPr>
            <w:tcW w:type="dxa" w:w="346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7"/>
              </w:rPr>
              <w:t>İş değeri</w:t>
            </w:r>
          </w:p>
        </w:tc>
      </w:tr>
      <w:tr>
        <w:tc>
          <w:tcPr>
            <w:tcW w:type="dxa" w:w="16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Kapsam kararı</w:t>
            </w:r>
          </w:p>
        </w:tc>
        <w:tc>
          <w:tcPr>
            <w:tcW w:type="dxa" w:w="42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CN, menşe, prosedür ve eşik kararı açıklanabilir sonuç verir.</w:t>
            </w:r>
          </w:p>
        </w:tc>
        <w:tc>
          <w:tcPr>
            <w:tcW w:type="dxa" w:w="3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Yanlış ürün ve ithalat satırı riski azalır.</w:t>
            </w:r>
          </w:p>
        </w:tc>
      </w:tr>
      <w:tr>
        <w:tc>
          <w:tcPr>
            <w:tcW w:type="dxa" w:w="16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Tedarikçi verisi</w:t>
            </w:r>
          </w:p>
        </w:tc>
        <w:tc>
          <w:tcPr>
            <w:tcW w:type="dxa" w:w="42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Tesis/proses/emisyon talepleri durum ve SLA ile izlenir.</w:t>
            </w:r>
          </w:p>
        </w:tc>
        <w:tc>
          <w:tcPr>
            <w:tcW w:type="dxa" w:w="3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E-posta ve dağınık Excel trafiği kontrol edilir.</w:t>
            </w:r>
          </w:p>
        </w:tc>
      </w:tr>
      <w:tr>
        <w:tc>
          <w:tcPr>
            <w:tcW w:type="dxa" w:w="16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Hesaplama</w:t>
            </w:r>
          </w:p>
        </w:tc>
        <w:tc>
          <w:tcPr>
            <w:tcW w:type="dxa" w:w="42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Gerçek/doğrulanmış ve varsayılan değer senaryoları ayrılır.</w:t>
            </w:r>
          </w:p>
        </w:tc>
        <w:tc>
          <w:tcPr>
            <w:tcW w:type="dxa" w:w="3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Hesap sonucu yeniden üretilebilir olur.</w:t>
            </w:r>
          </w:p>
        </w:tc>
      </w:tr>
      <w:tr>
        <w:tc>
          <w:tcPr>
            <w:tcW w:type="dxa" w:w="16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Mali etki</w:t>
            </w:r>
          </w:p>
        </w:tc>
        <w:tc>
          <w:tcPr>
            <w:tcW w:type="dxa" w:w="42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Sertifika adedi ve fiyat senaryosu ithalat dönemiyle bağlanır.</w:t>
            </w:r>
          </w:p>
        </w:tc>
        <w:tc>
          <w:tcPr>
            <w:tcW w:type="dxa" w:w="3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Bütçe ve satın alma hazırlığı güçlenir.</w:t>
            </w:r>
          </w:p>
        </w:tc>
      </w:tr>
      <w:tr>
        <w:tc>
          <w:tcPr>
            <w:tcW w:type="dxa" w:w="16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Beyan hazırlığı</w:t>
            </w:r>
          </w:p>
        </w:tc>
        <w:tc>
          <w:tcPr>
            <w:tcW w:type="dxa" w:w="42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Yıllık beyan paketi, kanıt indeksi ve onay snapshot’ı oluşur.</w:t>
            </w:r>
          </w:p>
        </w:tc>
        <w:tc>
          <w:tcPr>
            <w:tcW w:type="dxa" w:w="3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30 Eylül teslim süreci kontrollü yürütülür.</w:t>
            </w:r>
          </w:p>
        </w:tc>
      </w:tr>
    </w:tbl>
    <w:p>
      <w:pPr>
        <w:spacing w:after="40"/>
      </w:pPr>
    </w:p>
    <w:p>
      <w:pPr>
        <w:pStyle w:val="Heading2"/>
        <w:keepNext/>
      </w:pPr>
      <w:r>
        <w:t>1.1 MVP Dışı Stratejik Yol</w:t>
      </w:r>
    </w:p>
    <w:p>
      <w:pPr>
        <w:pStyle w:val="ListBullet"/>
        <w:spacing w:after="80" w:line="300" w:lineRule="auto"/>
        <w:ind w:left="540" w:hanging="271"/>
      </w:pPr>
      <w:r>
        <w:rPr>
          <w:rFonts w:ascii="Calibri" w:hAnsi="Calibri" w:eastAsia="Calibri"/>
          <w:color w:val="111111"/>
          <w:sz w:val="22"/>
        </w:rPr>
        <w:t>Resmî CBAM Siciline otomatik gönderim; resmî API/XSD ve kimlik modeli kesinleştiğinde adaptör olarak eklenir.</w:t>
      </w:r>
    </w:p>
    <w:p>
      <w:pPr>
        <w:pStyle w:val="ListBullet"/>
        <w:spacing w:after="80" w:line="300" w:lineRule="auto"/>
        <w:ind w:left="540" w:hanging="271"/>
      </w:pPr>
      <w:r>
        <w:rPr>
          <w:rFonts w:ascii="Calibri" w:hAnsi="Calibri" w:eastAsia="Calibri"/>
          <w:color w:val="111111"/>
          <w:sz w:val="22"/>
        </w:rPr>
        <w:t>Sertifika satın alma/ödeme işlemi Common Central Platform içinde kalır; yazılım pozisyon ve bütçe takibi yapar.</w:t>
      </w:r>
    </w:p>
    <w:p>
      <w:pPr>
        <w:pStyle w:val="ListBullet"/>
        <w:spacing w:after="80" w:line="300" w:lineRule="auto"/>
        <w:ind w:left="540" w:hanging="271"/>
      </w:pPr>
      <w:r>
        <w:rPr>
          <w:rFonts w:ascii="Calibri" w:hAnsi="Calibri" w:eastAsia="Calibri"/>
          <w:color w:val="111111"/>
          <w:sz w:val="22"/>
        </w:rPr>
        <w:t>İleri seviye tesis optimizasyonu, ürün karbon ayak izi, LCA ve dekarbonizasyon simülasyonu ayrı ürün fazıdır; Birleşik Krallık veya diğer sınırda karbon düzenlemeleri ise ayrı kural paketi olarak değerlendirilir ve bu MVP’ye dahil değildir.</w:t>
      </w:r>
    </w:p>
    <w:p>
      <w:pPr>
        <w:pStyle w:val="Heading1"/>
        <w:keepNext/>
      </w:pPr>
      <w:r>
        <w:t>2. Mevzuat Temeli ve Ürün İlkeleri</w:t>
      </w:r>
    </w:p>
    <w:p>
      <w:pPr>
        <w:keepNext w:val="0"/>
        <w:spacing w:before="0" w:after="120" w:line="300" w:lineRule="auto"/>
        <w:jc w:val="left"/>
      </w:pPr>
      <w:r>
        <w:rPr>
          <w:rFonts w:ascii="Calibri" w:hAnsi="Calibri" w:eastAsia="Calibri"/>
          <w:b w:val="0"/>
          <w:i w:val="0"/>
          <w:color w:val="111111"/>
          <w:sz w:val="22"/>
        </w:rPr>
        <w:t>Sistem; Regulation (EU) 2023/956, Regulation (EU) 2025/2083 ve 2025 sonunda yayımlanan kesin dönem uygulama düzenlemelerini sürümlü mevzuat kataloğu olarak kullanır. 24 Temmuz 2026 itibarıyla ürün kararları aşağıdadır.</w:t>
      </w:r>
    </w:p>
    <w:tbl>
      <w:tblPr>
        <w:tblStyle w:val="TableGrid"/>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1700"/>
        <w:gridCol w:w="4600"/>
        <w:gridCol w:w="3060"/>
      </w:tblGrid>
      <w:tr>
        <w:trPr>
          <w:tblHeader w:val="true"/>
        </w:trPr>
        <w:tc>
          <w:tcPr>
            <w:tcW w:type="dxa" w:w="17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Konu</w:t>
            </w:r>
          </w:p>
        </w:tc>
        <w:tc>
          <w:tcPr>
            <w:tcW w:type="dxa" w:w="46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MVP kuralı</w:t>
            </w:r>
          </w:p>
        </w:tc>
        <w:tc>
          <w:tcPr>
            <w:tcW w:type="dxa" w:w="306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Teknik karşılık</w:t>
            </w:r>
          </w:p>
        </w:tc>
      </w:tr>
      <w:tr>
        <w:tc>
          <w:tcPr>
            <w:tcW w:type="dxa" w:w="17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Kesin dönem</w:t>
            </w:r>
          </w:p>
        </w:tc>
        <w:tc>
          <w:tcPr>
            <w:tcW w:type="dxa" w:w="4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1 Ocak 2026’dan itibaren kesin dönem kayıtları ayrı tutulur.</w:t>
            </w:r>
          </w:p>
        </w:tc>
        <w:tc>
          <w:tcPr>
            <w:tcW w:type="dxa" w:w="3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regime=DEFINITIVE; import_year</w:t>
            </w:r>
          </w:p>
        </w:tc>
      </w:tr>
      <w:tr>
        <w:tc>
          <w:tcPr>
            <w:tcW w:type="dxa" w:w="17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Ürün kapsamı</w:t>
            </w:r>
          </w:p>
        </w:tc>
        <w:tc>
          <w:tcPr>
            <w:tcW w:type="dxa" w:w="4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Annex I CN kodu, menşe ve gümrük işlemi birlikte değerlendirilir.</w:t>
            </w:r>
          </w:p>
        </w:tc>
        <w:tc>
          <w:tcPr>
            <w:tcW w:type="dxa" w:w="3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cn_rule + origin_rule + procedure_rule</w:t>
            </w:r>
          </w:p>
        </w:tc>
      </w:tr>
      <w:tr>
        <w:tc>
          <w:tcPr>
            <w:tcW w:type="dxa" w:w="17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50 ton eşiği</w:t>
            </w:r>
          </w:p>
        </w:tc>
        <w:tc>
          <w:tcPr>
            <w:tcW w:type="dxa" w:w="4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Elektrik ve hidrojen dışındaki kapsamdaki mallar için beyan sahibi/yıl bazında net kütle izlenir.</w:t>
            </w:r>
          </w:p>
        </w:tc>
        <w:tc>
          <w:tcPr>
            <w:tcW w:type="dxa" w:w="3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threshold_ledger</w:t>
            </w:r>
          </w:p>
        </w:tc>
      </w:tr>
      <w:tr>
        <w:tc>
          <w:tcPr>
            <w:tcW w:type="dxa" w:w="17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Yetkili beyan sahibi</w:t>
            </w:r>
          </w:p>
        </w:tc>
        <w:tc>
          <w:tcPr>
            <w:tcW w:type="dxa" w:w="4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Eşik üstü veya elektrik/hidrojen ithalatında hesap/başvuru durumu kontrol edilir.</w:t>
            </w:r>
          </w:p>
        </w:tc>
        <w:tc>
          <w:tcPr>
            <w:tcW w:type="dxa" w:w="3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declarant_authorisation</w:t>
            </w:r>
          </w:p>
        </w:tc>
      </w:tr>
      <w:tr>
        <w:tc>
          <w:tcPr>
            <w:tcW w:type="dxa" w:w="17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Emisyon yöntemi</w:t>
            </w:r>
          </w:p>
        </w:tc>
        <w:tc>
          <w:tcPr>
            <w:tcW w:type="dxa" w:w="4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Doğrulanmış gerçek veri veya mevzuattaki varsayılan değer seçilir.</w:t>
            </w:r>
          </w:p>
        </w:tc>
        <w:tc>
          <w:tcPr>
            <w:tcW w:type="dxa" w:w="3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emission_method</w:t>
            </w:r>
          </w:p>
        </w:tc>
      </w:tr>
      <w:tr>
        <w:tc>
          <w:tcPr>
            <w:tcW w:type="dxa" w:w="17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Doğrulama</w:t>
            </w:r>
          </w:p>
        </w:tc>
        <w:tc>
          <w:tcPr>
            <w:tcW w:type="dxa" w:w="4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Gerçek emisyon verisi, akredite doğrulayıcı ve raporla ilişkilendirilir.</w:t>
            </w:r>
          </w:p>
        </w:tc>
        <w:tc>
          <w:tcPr>
            <w:tcW w:type="dxa" w:w="3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verification_report</w:t>
            </w:r>
          </w:p>
        </w:tc>
      </w:tr>
      <w:tr>
        <w:tc>
          <w:tcPr>
            <w:tcW w:type="dxa" w:w="17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Beyan ve teslim</w:t>
            </w:r>
          </w:p>
        </w:tc>
        <w:tc>
          <w:tcPr>
            <w:tcW w:type="dxa" w:w="4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2026 ithalat yılı için ilk yıllık beyan/sertifika teslimi 30.09.2027’ye hazırlanır.</w:t>
            </w:r>
          </w:p>
        </w:tc>
        <w:tc>
          <w:tcPr>
            <w:tcW w:type="dxa" w:w="3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annual_declaration</w:t>
            </w:r>
          </w:p>
        </w:tc>
      </w:tr>
      <w:tr>
        <w:tc>
          <w:tcPr>
            <w:tcW w:type="dxa" w:w="17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Sertifika fiyatı</w:t>
            </w:r>
          </w:p>
        </w:tc>
        <w:tc>
          <w:tcPr>
            <w:tcW w:type="dxa" w:w="4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2026 için çeyreklik; 2027’den itibaren haftalık fiyat veri seti kullanılır.</w:t>
            </w:r>
          </w:p>
        </w:tc>
        <w:tc>
          <w:tcPr>
            <w:tcW w:type="dxa" w:w="3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certificate_price</w:t>
            </w:r>
          </w:p>
        </w:tc>
      </w:tr>
    </w:tbl>
    <w:p>
      <w:pPr>
        <w:spacing w:after="40"/>
      </w:pPr>
    </w:p>
    <w:p>
      <w:pPr>
        <w:pStyle w:val="Heading2"/>
        <w:keepNext/>
      </w:pPr>
      <w:r>
        <w:t>2.1 Tasarım İlkeleri</w:t>
      </w:r>
    </w:p>
    <w:p>
      <w:pPr>
        <w:numPr>
          <w:ilvl w:val="0"/>
          <w:numId w:val="11"/>
        </w:numPr>
        <w:spacing w:after="80" w:line="300" w:lineRule="auto"/>
      </w:pPr>
      <w:r>
        <w:rPr>
          <w:rFonts w:ascii="Calibri" w:hAnsi="Calibri" w:eastAsia="Calibri"/>
          <w:color w:val="111111"/>
          <w:sz w:val="22"/>
        </w:rPr>
        <w:t>Kapsam sonucu CN kodu ile başlar; malzeme adı veya serbest metin tek başına karar üretmez.</w:t>
      </w:r>
    </w:p>
    <w:p>
      <w:pPr>
        <w:numPr>
          <w:ilvl w:val="0"/>
          <w:numId w:val="11"/>
        </w:numPr>
        <w:spacing w:after="80" w:line="300" w:lineRule="auto"/>
      </w:pPr>
      <w:r>
        <w:rPr>
          <w:rFonts w:ascii="Calibri" w:hAnsi="Calibri" w:eastAsia="Calibri"/>
          <w:color w:val="111111"/>
          <w:sz w:val="22"/>
        </w:rPr>
        <w:t>Eşik takibi, tek tek ürünlerden bağımsız olarak beyan sahibi ve takvim yılı toplamını izler.</w:t>
      </w:r>
    </w:p>
    <w:p>
      <w:pPr>
        <w:numPr>
          <w:ilvl w:val="0"/>
          <w:numId w:val="11"/>
        </w:numPr>
        <w:spacing w:after="80" w:line="300" w:lineRule="auto"/>
      </w:pPr>
      <w:r>
        <w:rPr>
          <w:rFonts w:ascii="Calibri" w:hAnsi="Calibri" w:eastAsia="Calibri"/>
          <w:color w:val="111111"/>
          <w:sz w:val="22"/>
        </w:rPr>
        <w:t>Elektrik ve hidrojen için 50 ton muafiyeti uygulanmaz; kural sektöre göre çözülür.</w:t>
      </w:r>
    </w:p>
    <w:p>
      <w:pPr>
        <w:numPr>
          <w:ilvl w:val="0"/>
          <w:numId w:val="11"/>
        </w:numPr>
        <w:spacing w:after="80" w:line="300" w:lineRule="auto"/>
      </w:pPr>
      <w:r>
        <w:rPr>
          <w:rFonts w:ascii="Calibri" w:hAnsi="Calibri" w:eastAsia="Calibri"/>
          <w:color w:val="111111"/>
          <w:sz w:val="22"/>
        </w:rPr>
        <w:t>Gerçek emisyon ancak geçerli doğrulama kanıtıyla ACTUAL_VERIFIED statüsüne ulaşır.</w:t>
      </w:r>
    </w:p>
    <w:p>
      <w:pPr>
        <w:numPr>
          <w:ilvl w:val="0"/>
          <w:numId w:val="11"/>
        </w:numPr>
        <w:spacing w:after="80" w:line="300" w:lineRule="auto"/>
      </w:pPr>
      <w:r>
        <w:rPr>
          <w:rFonts w:ascii="Calibri" w:hAnsi="Calibri" w:eastAsia="Calibri"/>
          <w:color w:val="111111"/>
          <w:sz w:val="22"/>
        </w:rPr>
        <w:t>Varsayılan değer, ülke/yıl/CN/üretim rotası ve mevzuat mark-up sürümüyle birlikte saklanır.</w:t>
      </w:r>
    </w:p>
    <w:p>
      <w:pPr>
        <w:numPr>
          <w:ilvl w:val="0"/>
          <w:numId w:val="11"/>
        </w:numPr>
        <w:spacing w:after="80" w:line="300" w:lineRule="auto"/>
      </w:pPr>
      <w:r>
        <w:rPr>
          <w:rFonts w:ascii="Calibri" w:hAnsi="Calibri" w:eastAsia="Calibri"/>
          <w:color w:val="111111"/>
          <w:sz w:val="22"/>
        </w:rPr>
        <w:t>LCA veri tabanı katsayısı CBAM gömülü emisyon hesabında resmî yöntem yerine kullanılamaz.</w:t>
      </w:r>
    </w:p>
    <w:p>
      <w:pPr>
        <w:numPr>
          <w:ilvl w:val="0"/>
          <w:numId w:val="11"/>
        </w:numPr>
        <w:spacing w:after="80" w:line="300" w:lineRule="auto"/>
      </w:pPr>
      <w:r>
        <w:rPr>
          <w:rFonts w:ascii="Calibri" w:hAnsi="Calibri" w:eastAsia="Calibri"/>
          <w:color w:val="111111"/>
          <w:sz w:val="22"/>
        </w:rPr>
        <w:t>Her hesap sonucu input_hash, ruleset_version, data_version, reason_codes ve calculation_trace üretir.</w:t>
      </w:r>
    </w:p>
    <w:p>
      <w:pPr>
        <w:numPr>
          <w:ilvl w:val="0"/>
          <w:numId w:val="11"/>
        </w:numPr>
        <w:spacing w:after="80" w:line="300" w:lineRule="auto"/>
      </w:pPr>
      <w:r>
        <w:rPr>
          <w:rFonts w:ascii="Calibri" w:hAnsi="Calibri" w:eastAsia="Calibri"/>
          <w:color w:val="111111"/>
          <w:sz w:val="22"/>
        </w:rPr>
        <w:t>Mali sonuç muhasebe kaydı değil, mevzuat temelli tahmin ve beyan hazırlık çıktısıdır.</w:t>
      </w:r>
    </w:p>
    <w:p>
      <w:pPr>
        <w:pStyle w:val="Heading1"/>
        <w:keepNext/>
      </w:pPr>
      <w:r>
        <w:t>3. Kapsam, MVP Sınırları ve Varsayımlar</w:t>
      </w:r>
    </w:p>
    <w:p>
      <w:pPr>
        <w:pStyle w:val="Heading2"/>
        <w:keepNext/>
      </w:pPr>
      <w:r>
        <w:t>3.1 MVP Fonksiyonel Kapsamı</w:t>
      </w:r>
    </w:p>
    <w:p>
      <w:pPr>
        <w:pStyle w:val="ListBullet"/>
        <w:spacing w:after="80" w:line="300" w:lineRule="auto"/>
        <w:ind w:left="540" w:hanging="271"/>
      </w:pPr>
      <w:r>
        <w:rPr>
          <w:rFonts w:ascii="Calibri" w:hAnsi="Calibri" w:eastAsia="Calibri"/>
          <w:color w:val="111111"/>
          <w:sz w:val="22"/>
        </w:rPr>
        <w:t>Çok kiracılı SaaS: tenant, yasal kuruluş, EORI, yetkili CBAM beyan sahibi ve temsilci bilgileri.</w:t>
      </w:r>
    </w:p>
    <w:p>
      <w:pPr>
        <w:pStyle w:val="ListBullet"/>
        <w:spacing w:after="80" w:line="300" w:lineRule="auto"/>
        <w:ind w:left="540" w:hanging="271"/>
      </w:pPr>
      <w:r>
        <w:rPr>
          <w:rFonts w:ascii="Calibri" w:hAnsi="Calibri" w:eastAsia="Calibri"/>
          <w:color w:val="111111"/>
          <w:sz w:val="22"/>
        </w:rPr>
        <w:t>Ürün/CN ana verisi: ürün kodu, tanım, net ağırlık, birim, sektör, üretim rotası ve kural sonucu.</w:t>
      </w:r>
    </w:p>
    <w:p>
      <w:pPr>
        <w:pStyle w:val="ListBullet"/>
        <w:spacing w:after="80" w:line="300" w:lineRule="auto"/>
        <w:ind w:left="540" w:hanging="271"/>
      </w:pPr>
      <w:r>
        <w:rPr>
          <w:rFonts w:ascii="Calibri" w:hAnsi="Calibri" w:eastAsia="Calibri"/>
          <w:color w:val="111111"/>
          <w:sz w:val="22"/>
        </w:rPr>
        <w:t>İthalat veri alımı: gümrük beyannamesi, kalem, prosedür, menşe, net kütle, miktar, tarih ve fatura bağlantısı.</w:t>
      </w:r>
    </w:p>
    <w:p>
      <w:pPr>
        <w:pStyle w:val="ListBullet"/>
        <w:spacing w:after="80" w:line="300" w:lineRule="auto"/>
        <w:ind w:left="540" w:hanging="271"/>
      </w:pPr>
      <w:r>
        <w:rPr>
          <w:rFonts w:ascii="Calibri" w:hAnsi="Calibri" w:eastAsia="Calibri"/>
          <w:color w:val="111111"/>
          <w:sz w:val="22"/>
        </w:rPr>
        <w:t>50 ton defteri: yıllık gerçekleşen, beklenen, kalan marj, eşik aşım tarihi ve uyarı.</w:t>
      </w:r>
    </w:p>
    <w:p>
      <w:pPr>
        <w:pStyle w:val="ListBullet"/>
        <w:spacing w:after="80" w:line="300" w:lineRule="auto"/>
        <w:ind w:left="540" w:hanging="271"/>
      </w:pPr>
      <w:r>
        <w:rPr>
          <w:rFonts w:ascii="Calibri" w:hAnsi="Calibri" w:eastAsia="Calibri"/>
          <w:color w:val="111111"/>
          <w:sz w:val="22"/>
        </w:rPr>
        <w:t>Tedarikçi portalı: operatör, tesis, proses, öncül, aktivite seviyesi, yakıt, elektrik ve kanıt talebi.</w:t>
      </w:r>
    </w:p>
    <w:p>
      <w:pPr>
        <w:pStyle w:val="ListBullet"/>
        <w:spacing w:after="80" w:line="300" w:lineRule="auto"/>
        <w:ind w:left="540" w:hanging="271"/>
      </w:pPr>
      <w:r>
        <w:rPr>
          <w:rFonts w:ascii="Calibri" w:hAnsi="Calibri" w:eastAsia="Calibri"/>
          <w:color w:val="111111"/>
          <w:sz w:val="22"/>
        </w:rPr>
        <w:t>Emisyon motoru: gerçek/doğrulanmış veri, varsayılan değer, doğrudan/dolaylı kapsam ve öncül emisyonu.</w:t>
      </w:r>
    </w:p>
    <w:p>
      <w:pPr>
        <w:pStyle w:val="ListBullet"/>
        <w:spacing w:after="80" w:line="300" w:lineRule="auto"/>
        <w:ind w:left="540" w:hanging="271"/>
      </w:pPr>
      <w:r>
        <w:rPr>
          <w:rFonts w:ascii="Calibri" w:hAnsi="Calibri" w:eastAsia="Calibri"/>
          <w:color w:val="111111"/>
          <w:sz w:val="22"/>
        </w:rPr>
        <w:t>Doğrulama yönetimi: doğrulayıcı, akreditasyon kapsamı, rapor, bulgu ve geçerlilik kontrolü.</w:t>
      </w:r>
    </w:p>
    <w:p>
      <w:pPr>
        <w:pStyle w:val="ListBullet"/>
        <w:spacing w:after="80" w:line="300" w:lineRule="auto"/>
        <w:ind w:left="540" w:hanging="271"/>
      </w:pPr>
      <w:r>
        <w:rPr>
          <w:rFonts w:ascii="Calibri" w:hAnsi="Calibri" w:eastAsia="Calibri"/>
          <w:color w:val="111111"/>
          <w:sz w:val="22"/>
        </w:rPr>
        <w:t>Yükümlülük motoru: gömülü emisyon, ücretsiz tahsis düzeltmesi, üçüncü ülke karbon bedeli ve sertifika adedi.</w:t>
      </w:r>
    </w:p>
    <w:p>
      <w:pPr>
        <w:pStyle w:val="ListBullet"/>
        <w:spacing w:after="80" w:line="300" w:lineRule="auto"/>
        <w:ind w:left="540" w:hanging="271"/>
      </w:pPr>
      <w:r>
        <w:rPr>
          <w:rFonts w:ascii="Calibri" w:hAnsi="Calibri" w:eastAsia="Calibri"/>
          <w:color w:val="111111"/>
          <w:sz w:val="22"/>
        </w:rPr>
        <w:t>Maliyet motoru: 2026 çeyreklik fiyat, gelecek fiyat senaryosu, bütçe ve hassasiyet analizi.</w:t>
      </w:r>
    </w:p>
    <w:p>
      <w:pPr>
        <w:pStyle w:val="ListBullet"/>
        <w:spacing w:after="80" w:line="300" w:lineRule="auto"/>
        <w:ind w:left="540" w:hanging="271"/>
      </w:pPr>
      <w:r>
        <w:rPr>
          <w:rFonts w:ascii="Calibri" w:hAnsi="Calibri" w:eastAsia="Calibri"/>
          <w:color w:val="111111"/>
          <w:sz w:val="22"/>
        </w:rPr>
        <w:t>Yıllık beyan çalışma alanı: mutabakat, eksik veri, onay, snapshot, kanıt indeksi ve dışa aktarım.</w:t>
      </w:r>
    </w:p>
    <w:p>
      <w:pPr>
        <w:pStyle w:val="ListBullet"/>
        <w:spacing w:after="80" w:line="300" w:lineRule="auto"/>
        <w:ind w:left="540" w:hanging="271"/>
      </w:pPr>
      <w:r>
        <w:rPr>
          <w:rFonts w:ascii="Calibri" w:hAnsi="Calibri" w:eastAsia="Calibri"/>
          <w:color w:val="111111"/>
          <w:sz w:val="22"/>
        </w:rPr>
        <w:t>Görev/SLA, bildirim, audit log, belge kasası, dashboard ve standart raporlar.</w:t>
      </w:r>
    </w:p>
    <w:p>
      <w:pPr>
        <w:pStyle w:val="Heading2"/>
        <w:keepNext/>
      </w:pPr>
      <w:r>
        <w:t>3.2 MVP Dışında Bırakılanlar</w:t>
      </w:r>
    </w:p>
    <w:tbl>
      <w:tblPr>
        <w:tblStyle w:val="TableGrid"/>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2200"/>
        <w:gridCol w:w="3900"/>
        <w:gridCol w:w="3260"/>
      </w:tblGrid>
      <w:tr>
        <w:trPr>
          <w:tblHeader w:val="true"/>
        </w:trPr>
        <w:tc>
          <w:tcPr>
            <w:tcW w:type="dxa" w:w="22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7"/>
              </w:rPr>
              <w:t>Konu</w:t>
            </w:r>
          </w:p>
        </w:tc>
        <w:tc>
          <w:tcPr>
            <w:tcW w:type="dxa" w:w="39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7"/>
              </w:rPr>
              <w:t>Neden MVP dışında</w:t>
            </w:r>
          </w:p>
        </w:tc>
        <w:tc>
          <w:tcPr>
            <w:tcW w:type="dxa" w:w="326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7"/>
              </w:rPr>
              <w:t>Sonraki faz</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Resmî sicile canlı gönderim</w:t>
            </w:r>
          </w:p>
        </w:tc>
        <w:tc>
          <w:tcPr>
            <w:tcW w:type="dxa" w:w="3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Yayımlanmış ve kabul edilmiş teknik entegrasyon sözleşmesi gerekir.</w:t>
            </w:r>
          </w:p>
        </w:tc>
        <w:tc>
          <w:tcPr>
            <w:tcW w:type="dxa" w:w="32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Adapter + feature flag</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Sertifika ödeme işlemi</w:t>
            </w:r>
          </w:p>
        </w:tc>
        <w:tc>
          <w:tcPr>
            <w:tcW w:type="dxa" w:w="3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Common Central Platform ve yetkili beyan sahibi kontrolündedir.</w:t>
            </w:r>
          </w:p>
        </w:tc>
        <w:tc>
          <w:tcPr>
            <w:tcW w:type="dxa" w:w="32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Pozisyon/ödeme teyit importu</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Tam ERP gümrük entegrasyonu</w:t>
            </w:r>
          </w:p>
        </w:tc>
        <w:tc>
          <w:tcPr>
            <w:tcW w:type="dxa" w:w="3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Sekiz haftada bir kanonik import sözleşmesi önceliklidir.</w:t>
            </w:r>
          </w:p>
        </w:tc>
        <w:tc>
          <w:tcPr>
            <w:tcW w:type="dxa" w:w="32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SAP/Oracle/customs connector</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Otomatik belge yorumu</w:t>
            </w:r>
          </w:p>
        </w:tc>
        <w:tc>
          <w:tcPr>
            <w:tcW w:type="dxa" w:w="3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Yanlış emisyon çıkarımı ve kanıt riski yüksektir.</w:t>
            </w:r>
          </w:p>
        </w:tc>
        <w:tc>
          <w:tcPr>
            <w:tcW w:type="dxa" w:w="32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İnsan onaylı OCR/AI</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Dekarbonizasyon optimizasyonu</w:t>
            </w:r>
          </w:p>
        </w:tc>
        <w:tc>
          <w:tcPr>
            <w:tcW w:type="dxa" w:w="3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Uyum MVP’sinden farklı veri ve model gerektirir.</w:t>
            </w:r>
          </w:p>
        </w:tc>
        <w:tc>
          <w:tcPr>
            <w:tcW w:type="dxa" w:w="32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Scenario lab</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Diğer karbon sınır rejimleri</w:t>
            </w:r>
          </w:p>
        </w:tc>
        <w:tc>
          <w:tcPr>
            <w:tcW w:type="dxa" w:w="3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Mevzuat, kapsam ve hesap yöntemi ayrıdır.</w:t>
            </w:r>
          </w:p>
        </w:tc>
        <w:tc>
          <w:tcPr>
            <w:tcW w:type="dxa" w:w="32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Ayrı rule pack</w:t>
            </w:r>
          </w:p>
        </w:tc>
      </w:tr>
    </w:tbl>
    <w:p>
      <w:pPr>
        <w:spacing w:after="40"/>
      </w:pPr>
    </w:p>
    <w:tbl>
      <w:tblPr>
        <w:tblW w:type="dxa" w:w="9360"/>
        <w:jc w:val="left"/>
        <w:tblLayout w:type="fixed"/>
        <w:tblLook w:firstColumn="1" w:firstRow="1" w:lastColumn="0" w:lastRow="0" w:noHBand="0" w:noVBand="1" w:val="04A0"/>
        <w:tblInd w:w="120" w:type="dxa"/>
        <w:tblBorders>
          <w:top w:val="single" w:sz="8" w:space="0" w:color="D6B45D"/>
          <w:left w:val="single" w:sz="8" w:space="0" w:color="D6B45D"/>
          <w:bottom w:val="single" w:sz="8" w:space="0" w:color="D6B45D"/>
          <w:right w:val="single" w:sz="8" w:space="0" w:color="D6B45D"/>
          <w:insideH w:val="single" w:sz="8" w:space="0" w:color="D6B45D"/>
          <w:insideV w:val="single" w:sz="8" w:space="0" w:color="D6B45D"/>
        </w:tblBorders>
      </w:tblPr>
      <w:tblGrid>
        <w:gridCol w:w="9360"/>
      </w:tblGrid>
      <w:tr>
        <w:trPr>
          <w:cantSplit/>
        </w:trPr>
        <w:tc>
          <w:tcPr>
            <w:tcW w:type="dxa" w:w="9360"/>
            <w:shd w:fill="FFF7E0"/>
            <w:tcMar>
              <w:top w:w="140" w:type="dxa"/>
              <w:start w:w="180" w:type="dxa"/>
              <w:bottom w:w="140" w:type="dxa"/>
              <w:end w:w="180" w:type="dxa"/>
            </w:tcMar>
            <w:vAlign w:val="center"/>
          </w:tcPr>
          <w:p>
            <w:pPr>
              <w:spacing w:after="0" w:line="276" w:lineRule="auto"/>
            </w:pPr>
            <w:r/>
            <w:r>
              <w:rPr>
                <w:rFonts w:ascii="Calibri" w:hAnsi="Calibri" w:eastAsia="Calibri"/>
                <w:b/>
                <w:color w:val="0B2545"/>
                <w:sz w:val="20"/>
              </w:rPr>
              <w:t xml:space="preserve">Kapasite varsayımı: </w:t>
            </w:r>
            <w:r>
              <w:rPr>
                <w:rFonts w:ascii="Calibri" w:hAnsi="Calibri" w:eastAsia="Calibri"/>
                <w:color w:val="111111"/>
                <w:sz w:val="20"/>
              </w:rPr>
              <w:t>Sekiz haftalık plan; 1 Tech Lead, 2 backend, 2 frontend/full-stack, 1 karbon/data mühendisi, 1 QA otomasyon, part-time DevOps/SecOps, 1 PO/iş analisti ve erişilebilir CBAM uzmanıyla mümkündür. Daha küçük ekipte entegrasyon veya raporlama kapsamı yeniden bazlanmalıdır.</w:t>
            </w:r>
          </w:p>
        </w:tc>
      </w:tr>
    </w:tbl>
    <w:p>
      <w:pPr>
        <w:keepNext w:val="0"/>
        <w:spacing w:before="0" w:after="40" w:line="300" w:lineRule="auto"/>
        <w:jc w:val="left"/>
      </w:pPr>
      <w:r>
        <w:rPr>
          <w:rFonts w:ascii="Calibri" w:hAnsi="Calibri" w:eastAsia="Calibri"/>
          <w:b w:val="0"/>
          <w:i w:val="0"/>
          <w:color w:val="111111"/>
          <w:sz w:val="22"/>
        </w:rPr>
      </w:r>
    </w:p>
    <w:p>
      <w:pPr>
        <w:pStyle w:val="Heading1"/>
        <w:keepNext/>
      </w:pPr>
      <w:r>
        <w:t>4. Paydaşlar, Kullanıcılar ve Yetkiler</w:t>
      </w:r>
    </w:p>
    <w:tbl>
      <w:tblPr>
        <w:tblStyle w:val="TableGrid"/>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2200"/>
        <w:gridCol w:w="2300"/>
        <w:gridCol w:w="4860"/>
      </w:tblGrid>
      <w:tr>
        <w:trPr>
          <w:tblHeader w:val="true"/>
        </w:trPr>
        <w:tc>
          <w:tcPr>
            <w:tcW w:type="dxa" w:w="22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Paydaş</w:t>
            </w:r>
          </w:p>
        </w:tc>
        <w:tc>
          <w:tcPr>
            <w:tcW w:type="dxa" w:w="23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Sistem rolü</w:t>
            </w:r>
          </w:p>
        </w:tc>
        <w:tc>
          <w:tcPr>
            <w:tcW w:type="dxa" w:w="486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Temel sorumluluk</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Ürün sahibi</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PO/Approver</w:t>
            </w:r>
          </w:p>
        </w:tc>
        <w:tc>
          <w:tcPr>
            <w:tcW w:type="dxa" w:w="48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Kapsam, öncelik, kabul ve release kararları</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CBAM uzmanı</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Rule Owner / Reviewer</w:t>
            </w:r>
          </w:p>
        </w:tc>
        <w:tc>
          <w:tcPr>
            <w:tcW w:type="dxa" w:w="48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Kural yorumu, vaka değerlendirmesi ve mevzuat UAT</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Gümrük/lojistik</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Import Data Owner</w:t>
            </w:r>
          </w:p>
        </w:tc>
        <w:tc>
          <w:tcPr>
            <w:tcW w:type="dxa" w:w="48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Beyanname, CN, menşe, prosedür, net kütle ve EORI</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Satın alma</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Supplier Manager</w:t>
            </w:r>
          </w:p>
        </w:tc>
        <w:tc>
          <w:tcPr>
            <w:tcW w:type="dxa" w:w="48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Tedarikçi talebi, eskalasyon ve sözleşmesel veri takibi</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Sürdürülebilirlik</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Carbon Analyst</w:t>
            </w:r>
          </w:p>
        </w:tc>
        <w:tc>
          <w:tcPr>
            <w:tcW w:type="dxa" w:w="48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Tesis/proses/emisyon verisi ve hesap incelemesi</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Finans</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Financial Reviewer</w:t>
            </w:r>
          </w:p>
        </w:tc>
        <w:tc>
          <w:tcPr>
            <w:tcW w:type="dxa" w:w="48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Sertifika fiyatı, bütçe, karbon bedeli ve mali etki</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Yetkili beyan sahibi</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Authorised Declarant</w:t>
            </w:r>
          </w:p>
        </w:tc>
        <w:tc>
          <w:tcPr>
            <w:tcW w:type="dxa" w:w="48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Yıllık beyan ve sertifika teslim sorumluluğu</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Üçüncü ülke operatörü</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Supplier/Operator</w:t>
            </w:r>
          </w:p>
        </w:tc>
        <w:tc>
          <w:tcPr>
            <w:tcW w:type="dxa" w:w="48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Tesis, üretim, emisyon ve kanıt verisi</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Akredite doğrulayıcı</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External Verifier</w:t>
            </w:r>
          </w:p>
        </w:tc>
        <w:tc>
          <w:tcPr>
            <w:tcW w:type="dxa" w:w="48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Gerçek emisyon hesabı ve rapor doğrulaması</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Denetçi</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Auditor Read-only</w:t>
            </w:r>
          </w:p>
        </w:tc>
        <w:tc>
          <w:tcPr>
            <w:tcW w:type="dxa" w:w="48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Kural, veri, hesap, kanıt ve onay izinin incelenmesi</w:t>
            </w:r>
          </w:p>
        </w:tc>
      </w:tr>
    </w:tbl>
    <w:p>
      <w:pPr>
        <w:spacing w:after="40"/>
      </w:pPr>
    </w:p>
    <w:p>
      <w:pPr>
        <w:pStyle w:val="Heading2"/>
        <w:keepNext/>
      </w:pPr>
      <w:r>
        <w:t>4.1 Uygulama Rolleri</w:t>
      </w:r>
    </w:p>
    <w:tbl>
      <w:tblPr>
        <w:tblStyle w:val="TableGrid"/>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2300"/>
        <w:gridCol w:w="4400"/>
        <w:gridCol w:w="2660"/>
      </w:tblGrid>
      <w:tr>
        <w:trPr>
          <w:tblHeader w:val="true"/>
        </w:trPr>
        <w:tc>
          <w:tcPr>
            <w:tcW w:type="dxa" w:w="23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Rol</w:t>
            </w:r>
          </w:p>
        </w:tc>
        <w:tc>
          <w:tcPr>
            <w:tcW w:type="dxa" w:w="44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Yetki özeti</w:t>
            </w:r>
          </w:p>
        </w:tc>
        <w:tc>
          <w:tcPr>
            <w:tcW w:type="dxa" w:w="266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Kritik kontrol</w:t>
            </w:r>
          </w:p>
        </w:tc>
      </w:tr>
      <w:tr>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TENANT_ADMIN</w:t>
            </w:r>
          </w:p>
        </w:tc>
        <w:tc>
          <w:tcPr>
            <w:tcW w:type="dxa" w:w="4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Kullanıcı, kuruluş, politika ve entegrasyon yönetimi</w:t>
            </w:r>
          </w:p>
        </w:tc>
        <w:tc>
          <w:tcPr>
            <w:tcW w:type="dxa" w:w="2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Başka tenant verisine erişemez</w:t>
            </w:r>
          </w:p>
        </w:tc>
      </w:tr>
      <w:tr>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IMPORT_EDITOR</w:t>
            </w:r>
          </w:p>
        </w:tc>
        <w:tc>
          <w:tcPr>
            <w:tcW w:type="dxa" w:w="4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İthalat satırı ve ürün eşlemesi oluşturur/düzeltir</w:t>
            </w:r>
          </w:p>
        </w:tc>
        <w:tc>
          <w:tcPr>
            <w:tcW w:type="dxa" w:w="2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Onaylı snapshot’ı değiştiremez</w:t>
            </w:r>
          </w:p>
        </w:tc>
      </w:tr>
      <w:tr>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SUPPLIER_MANAGER</w:t>
            </w:r>
          </w:p>
        </w:tc>
        <w:tc>
          <w:tcPr>
            <w:tcW w:type="dxa" w:w="4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Talep paketi ve portal iş akışını yönetir</w:t>
            </w:r>
          </w:p>
        </w:tc>
        <w:tc>
          <w:tcPr>
            <w:tcW w:type="dxa" w:w="2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Hesabı onaylayamaz</w:t>
            </w:r>
          </w:p>
        </w:tc>
      </w:tr>
      <w:tr>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CARBON_ANALYST</w:t>
            </w:r>
          </w:p>
        </w:tc>
        <w:tc>
          <w:tcPr>
            <w:tcW w:type="dxa" w:w="4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Emisyon verisi ve hesap senaryosu hazırlar</w:t>
            </w:r>
          </w:p>
        </w:tc>
        <w:tc>
          <w:tcPr>
            <w:tcW w:type="dxa" w:w="2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Kural yayımlayamaz</w:t>
            </w:r>
          </w:p>
        </w:tc>
      </w:tr>
      <w:tr>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CBAM_REVIEWER</w:t>
            </w:r>
          </w:p>
        </w:tc>
        <w:tc>
          <w:tcPr>
            <w:tcW w:type="dxa" w:w="4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Kapsam, yöntem ve mevzuat istisnasını inceler</w:t>
            </w:r>
          </w:p>
        </w:tc>
        <w:tc>
          <w:tcPr>
            <w:tcW w:type="dxa" w:w="2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Dört göz onayı gerekir</w:t>
            </w:r>
          </w:p>
        </w:tc>
      </w:tr>
      <w:tr>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FINANCE_REVIEWER</w:t>
            </w:r>
          </w:p>
        </w:tc>
        <w:tc>
          <w:tcPr>
            <w:tcW w:type="dxa" w:w="4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Fiyat, bütçe ve mali etkiyi onaylar</w:t>
            </w:r>
          </w:p>
        </w:tc>
        <w:tc>
          <w:tcPr>
            <w:tcW w:type="dxa" w:w="2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Emisyon verisini değiştiremez</w:t>
            </w:r>
          </w:p>
        </w:tc>
      </w:tr>
      <w:tr>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DECLARANT_APPROVER</w:t>
            </w:r>
          </w:p>
        </w:tc>
        <w:tc>
          <w:tcPr>
            <w:tcW w:type="dxa" w:w="4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Beyan snapshot’ını yayıma hazırlar</w:t>
            </w:r>
          </w:p>
        </w:tc>
        <w:tc>
          <w:tcPr>
            <w:tcW w:type="dxa" w:w="2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MFA ve görev ayrılığı</w:t>
            </w:r>
          </w:p>
        </w:tc>
      </w:tr>
      <w:tr>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SUPPLIER_OPERATOR</w:t>
            </w:r>
          </w:p>
        </w:tc>
        <w:tc>
          <w:tcPr>
            <w:tcW w:type="dxa" w:w="4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Kendi tesis/veri/kanıt paketini yönetir</w:t>
            </w:r>
          </w:p>
        </w:tc>
        <w:tc>
          <w:tcPr>
            <w:tcW w:type="dxa" w:w="2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Yalnız atanmış kayıtlar</w:t>
            </w:r>
          </w:p>
        </w:tc>
      </w:tr>
      <w:tr>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AUDITOR</w:t>
            </w:r>
          </w:p>
        </w:tc>
        <w:tc>
          <w:tcPr>
            <w:tcW w:type="dxa" w:w="4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Salt okunur kanıt ve audit erişimi</w:t>
            </w:r>
          </w:p>
        </w:tc>
        <w:tc>
          <w:tcPr>
            <w:tcW w:type="dxa" w:w="2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Dışa aktarım loglanır</w:t>
            </w:r>
          </w:p>
        </w:tc>
      </w:tr>
    </w:tbl>
    <w:p>
      <w:pPr>
        <w:spacing w:after="40"/>
      </w:pPr>
    </w:p>
    <w:p>
      <w:pPr>
        <w:pStyle w:val="Heading1"/>
        <w:keepNext/>
      </w:pPr>
      <w:r>
        <w:t>5. Sistem Bağlamı ve Teknik Mimari</w:t>
      </w:r>
    </w:p>
    <w:p>
      <w:pPr>
        <w:keepNext w:val="0"/>
        <w:spacing w:before="0" w:after="120" w:line="300" w:lineRule="auto"/>
        <w:jc w:val="left"/>
      </w:pPr>
      <w:r>
        <w:rPr>
          <w:rFonts w:ascii="Calibri" w:hAnsi="Calibri" w:eastAsia="Calibri"/>
          <w:b w:val="0"/>
          <w:i w:val="0"/>
          <w:color w:val="111111"/>
          <w:sz w:val="22"/>
        </w:rPr>
        <w:t>MVP için modüler monolit önerilir. İş alanları kod modülleri ve şema sınırlarıyla ayrılır; hesap yoğun veya entegrasyon odaklı parçalar ileride bağımsız servise çıkarılabilir. PostgreSQL ortak veri tabanı kullanılır; tenant izolasyonu her sorgu, iş ve dosya anahtarında zorunludur.</w:t>
      </w:r>
    </w:p>
    <w:tbl>
      <w:tblPr>
        <w:tblStyle w:val="TableGrid"/>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1800"/>
        <w:gridCol w:w="4300"/>
        <w:gridCol w:w="3260"/>
      </w:tblGrid>
      <w:tr>
        <w:trPr>
          <w:tblHeader w:val="true"/>
        </w:trPr>
        <w:tc>
          <w:tcPr>
            <w:tcW w:type="dxa" w:w="18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Katman</w:t>
            </w:r>
          </w:p>
        </w:tc>
        <w:tc>
          <w:tcPr>
            <w:tcW w:type="dxa" w:w="43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Sorumluluk</w:t>
            </w:r>
          </w:p>
        </w:tc>
        <w:tc>
          <w:tcPr>
            <w:tcW w:type="dxa" w:w="326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Önerilen teknoloji</w:t>
            </w:r>
          </w:p>
        </w:tc>
      </w:tr>
      <w:tr>
        <w:tc>
          <w:tcPr>
            <w:tcW w:type="dxa" w:w="1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Web UI</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Kontrol kulesi, vaka, portal, beyan ve yönetim ekranları</w:t>
            </w:r>
          </w:p>
        </w:tc>
        <w:tc>
          <w:tcPr>
            <w:tcW w:type="dxa" w:w="32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React/Next.js + TypeScript</w:t>
            </w:r>
          </w:p>
        </w:tc>
      </w:tr>
      <w:tr>
        <w:tc>
          <w:tcPr>
            <w:tcW w:type="dxa" w:w="1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API Gateway</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Kimlik, RBAC/ABAC, rate limit, correlation-id</w:t>
            </w:r>
          </w:p>
        </w:tc>
        <w:tc>
          <w:tcPr>
            <w:tcW w:type="dxa" w:w="32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REST/JSON; OpenAPI 3.1</w:t>
            </w:r>
          </w:p>
        </w:tc>
      </w:tr>
      <w:tr>
        <w:tc>
          <w:tcPr>
            <w:tcW w:type="dxa" w:w="1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Application Core</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Ürün, ithalat, tedarikçi, görev, belge ve onay iş akışı</w:t>
            </w:r>
          </w:p>
        </w:tc>
        <w:tc>
          <w:tcPr>
            <w:tcW w:type="dxa" w:w="32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Modüler monolit</w:t>
            </w:r>
          </w:p>
        </w:tc>
      </w:tr>
      <w:tr>
        <w:tc>
          <w:tcPr>
            <w:tcW w:type="dxa" w:w="1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Rules Engine</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CN, menşe, prosedür, eşik, yöntem ve yürürlük kuralları</w:t>
            </w:r>
          </w:p>
        </w:tc>
        <w:tc>
          <w:tcPr>
            <w:tcW w:type="dxa" w:w="32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Decision tables / JSON Logic</w:t>
            </w:r>
          </w:p>
        </w:tc>
      </w:tr>
      <w:tr>
        <w:tc>
          <w:tcPr>
            <w:tcW w:type="dxa" w:w="1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CBAM Engine</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Emisyon, varsayılan değer, benchmark, sertifika ve maliyet</w:t>
            </w:r>
          </w:p>
        </w:tc>
        <w:tc>
          <w:tcPr>
            <w:tcW w:type="dxa" w:w="32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Decimal arithmetic</w:t>
            </w:r>
          </w:p>
        </w:tc>
      </w:tr>
      <w:tr>
        <w:tc>
          <w:tcPr>
            <w:tcW w:type="dxa" w:w="1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Import Service</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Excel/CSV/API alımı, eşleme, doğrulama ve mutabakat</w:t>
            </w:r>
          </w:p>
        </w:tc>
        <w:tc>
          <w:tcPr>
            <w:tcW w:type="dxa" w:w="32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Async worker + staging</w:t>
            </w:r>
          </w:p>
        </w:tc>
      </w:tr>
      <w:tr>
        <w:tc>
          <w:tcPr>
            <w:tcW w:type="dxa" w:w="1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Document Vault</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Kanıt, doğrulama raporu, hash, sürüm ve saklama</w:t>
            </w:r>
          </w:p>
        </w:tc>
        <w:tc>
          <w:tcPr>
            <w:tcW w:type="dxa" w:w="32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Object storage + KMS</w:t>
            </w:r>
          </w:p>
        </w:tc>
      </w:tr>
      <w:tr>
        <w:tc>
          <w:tcPr>
            <w:tcW w:type="dxa" w:w="1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Workflow</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Görev, SLA, bildirim, onay ve eskalasyon</w:t>
            </w:r>
          </w:p>
        </w:tc>
        <w:tc>
          <w:tcPr>
            <w:tcW w:type="dxa" w:w="32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Queue + scheduler</w:t>
            </w:r>
          </w:p>
        </w:tc>
      </w:tr>
      <w:tr>
        <w:tc>
          <w:tcPr>
            <w:tcW w:type="dxa" w:w="1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Audit/Event</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Değiştirilemez olay izi ve entegrasyon outbox</w:t>
            </w:r>
          </w:p>
        </w:tc>
        <w:tc>
          <w:tcPr>
            <w:tcW w:type="dxa" w:w="32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Append-only + outbox</w:t>
            </w:r>
          </w:p>
        </w:tc>
      </w:tr>
      <w:tr>
        <w:tc>
          <w:tcPr>
            <w:tcW w:type="dxa" w:w="1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Observability</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Log, metric, trace, job alarmı ve güvenlik olayı</w:t>
            </w:r>
          </w:p>
        </w:tc>
        <w:tc>
          <w:tcPr>
            <w:tcW w:type="dxa" w:w="32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OpenTelemetry</w:t>
            </w:r>
          </w:p>
        </w:tc>
      </w:tr>
    </w:tbl>
    <w:p>
      <w:pPr>
        <w:spacing w:after="40"/>
      </w:pPr>
    </w:p>
    <w:p>
      <w:pPr>
        <w:pStyle w:val="Heading2"/>
        <w:keepNext/>
      </w:pPr>
      <w:r>
        <w:t>5.1 Modül Sınırları</w:t>
      </w:r>
    </w:p>
    <w:tbl>
      <w:tblPr>
        <w:tblStyle w:val="TableGrid"/>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1650"/>
        <w:gridCol w:w="4400"/>
        <w:gridCol w:w="3310"/>
      </w:tblGrid>
      <w:tr>
        <w:trPr>
          <w:tblHeader w:val="true"/>
        </w:trPr>
        <w:tc>
          <w:tcPr>
            <w:tcW w:type="dxa" w:w="165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5"/>
              </w:rPr>
              <w:t>Domain</w:t>
            </w:r>
          </w:p>
        </w:tc>
        <w:tc>
          <w:tcPr>
            <w:tcW w:type="dxa" w:w="44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5"/>
              </w:rPr>
              <w:t>Sahip olduğu veri</w:t>
            </w:r>
          </w:p>
        </w:tc>
        <w:tc>
          <w:tcPr>
            <w:tcW w:type="dxa" w:w="331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5"/>
              </w:rPr>
              <w:t>Dışa verdiği çıktı</w:t>
            </w:r>
          </w:p>
        </w:tc>
      </w:tr>
      <w:tr>
        <w:tc>
          <w:tcPr>
            <w:tcW w:type="dxa" w:w="16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identity</w:t>
            </w:r>
          </w:p>
        </w:tc>
        <w:tc>
          <w:tcPr>
            <w:tcW w:type="dxa" w:w="4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Tenant, kuruluş, kullanıcı, rol, politika</w:t>
            </w:r>
          </w:p>
        </w:tc>
        <w:tc>
          <w:tcPr>
            <w:tcW w:type="dxa" w:w="33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Kimlik ve yetki bağlamı</w:t>
            </w:r>
          </w:p>
        </w:tc>
      </w:tr>
      <w:tr>
        <w:tc>
          <w:tcPr>
            <w:tcW w:type="dxa" w:w="16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catalog</w:t>
            </w:r>
          </w:p>
        </w:tc>
        <w:tc>
          <w:tcPr>
            <w:tcW w:type="dxa" w:w="4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Ürün, CN, sektör, birim, kural eşlemesi</w:t>
            </w:r>
          </w:p>
        </w:tc>
        <w:tc>
          <w:tcPr>
            <w:tcW w:type="dxa" w:w="33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Kapsam girdisi</w:t>
            </w:r>
          </w:p>
        </w:tc>
      </w:tr>
      <w:tr>
        <w:tc>
          <w:tcPr>
            <w:tcW w:type="dxa" w:w="16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imports</w:t>
            </w:r>
          </w:p>
        </w:tc>
        <w:tc>
          <w:tcPr>
            <w:tcW w:type="dxa" w:w="4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Beyanname, kalem, menşe, prosedür, miktar</w:t>
            </w:r>
          </w:p>
        </w:tc>
        <w:tc>
          <w:tcPr>
            <w:tcW w:type="dxa" w:w="33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İthalat olayı</w:t>
            </w:r>
          </w:p>
        </w:tc>
      </w:tr>
      <w:tr>
        <w:tc>
          <w:tcPr>
            <w:tcW w:type="dxa" w:w="16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threshold</w:t>
            </w:r>
          </w:p>
        </w:tc>
        <w:tc>
          <w:tcPr>
            <w:tcW w:type="dxa" w:w="4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Yıllık net kütle, tahmin, eşik ve uyarı</w:t>
            </w:r>
          </w:p>
        </w:tc>
        <w:tc>
          <w:tcPr>
            <w:tcW w:type="dxa" w:w="33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Applicability kararı</w:t>
            </w:r>
          </w:p>
        </w:tc>
      </w:tr>
      <w:tr>
        <w:tc>
          <w:tcPr>
            <w:tcW w:type="dxa" w:w="16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supply</w:t>
            </w:r>
          </w:p>
        </w:tc>
        <w:tc>
          <w:tcPr>
            <w:tcW w:type="dxa" w:w="4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Tedarikçi, operatör, tesis, proses, öncül</w:t>
            </w:r>
          </w:p>
        </w:tc>
        <w:tc>
          <w:tcPr>
            <w:tcW w:type="dxa" w:w="33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Üretim zinciri</w:t>
            </w:r>
          </w:p>
        </w:tc>
      </w:tr>
      <w:tr>
        <w:tc>
          <w:tcPr>
            <w:tcW w:type="dxa" w:w="16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emissions</w:t>
            </w:r>
          </w:p>
        </w:tc>
        <w:tc>
          <w:tcPr>
            <w:tcW w:type="dxa" w:w="4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Kaynak akışları, aktivite, elektrik, SEE, default</w:t>
            </w:r>
          </w:p>
        </w:tc>
        <w:tc>
          <w:tcPr>
            <w:tcW w:type="dxa" w:w="33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Gömülü emisyon</w:t>
            </w:r>
          </w:p>
        </w:tc>
      </w:tr>
      <w:tr>
        <w:tc>
          <w:tcPr>
            <w:tcW w:type="dxa" w:w="16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verification</w:t>
            </w:r>
          </w:p>
        </w:tc>
        <w:tc>
          <w:tcPr>
            <w:tcW w:type="dxa" w:w="4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Doğrulayıcı, akreditasyon, rapor ve bulgu</w:t>
            </w:r>
          </w:p>
        </w:tc>
        <w:tc>
          <w:tcPr>
            <w:tcW w:type="dxa" w:w="33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Verified status</w:t>
            </w:r>
          </w:p>
        </w:tc>
      </w:tr>
      <w:tr>
        <w:tc>
          <w:tcPr>
            <w:tcW w:type="dxa" w:w="16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liability</w:t>
            </w:r>
          </w:p>
        </w:tc>
        <w:tc>
          <w:tcPr>
            <w:tcW w:type="dxa" w:w="4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Benchmark, karbon bedeli, fiyat ve sertifika</w:t>
            </w:r>
          </w:p>
        </w:tc>
        <w:tc>
          <w:tcPr>
            <w:tcW w:type="dxa" w:w="33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Yükümlülük/maliyet</w:t>
            </w:r>
          </w:p>
        </w:tc>
      </w:tr>
      <w:tr>
        <w:tc>
          <w:tcPr>
            <w:tcW w:type="dxa" w:w="16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declaration</w:t>
            </w:r>
          </w:p>
        </w:tc>
        <w:tc>
          <w:tcPr>
            <w:tcW w:type="dxa" w:w="4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Yıllık çalışma dosyası, mutabakat ve snapshot</w:t>
            </w:r>
          </w:p>
        </w:tc>
        <w:tc>
          <w:tcPr>
            <w:tcW w:type="dxa" w:w="33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Dışa aktarım paketi</w:t>
            </w:r>
          </w:p>
        </w:tc>
      </w:tr>
      <w:tr>
        <w:tc>
          <w:tcPr>
            <w:tcW w:type="dxa" w:w="16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workflow</w:t>
            </w:r>
          </w:p>
        </w:tc>
        <w:tc>
          <w:tcPr>
            <w:tcW w:type="dxa" w:w="4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Talep, görev, SLA, onay ve bildirim</w:t>
            </w:r>
          </w:p>
        </w:tc>
        <w:tc>
          <w:tcPr>
            <w:tcW w:type="dxa" w:w="33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Operasyon durumu</w:t>
            </w:r>
          </w:p>
        </w:tc>
      </w:tr>
      <w:tr>
        <w:tc>
          <w:tcPr>
            <w:tcW w:type="dxa" w:w="16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audit</w:t>
            </w:r>
          </w:p>
        </w:tc>
        <w:tc>
          <w:tcPr>
            <w:tcW w:type="dxa" w:w="4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Olay, hash, actor, diff ve correlation-id</w:t>
            </w:r>
          </w:p>
        </w:tc>
        <w:tc>
          <w:tcPr>
            <w:tcW w:type="dxa" w:w="33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Denetim izi</w:t>
            </w:r>
          </w:p>
        </w:tc>
      </w:tr>
    </w:tbl>
    <w:p>
      <w:pPr>
        <w:spacing w:after="40"/>
      </w:pPr>
    </w:p>
    <w:p>
      <w:pPr>
        <w:pStyle w:val="Heading2"/>
        <w:keepNext/>
      </w:pPr>
      <w:r>
        <w:t>5.2 Dağıtım ve Tenant İzolasyonu</w:t>
      </w:r>
    </w:p>
    <w:p>
      <w:pPr>
        <w:pStyle w:val="ListBullet"/>
        <w:spacing w:after="80" w:line="300" w:lineRule="auto"/>
        <w:ind w:left="540" w:hanging="271"/>
      </w:pPr>
      <w:r>
        <w:rPr>
          <w:rFonts w:ascii="Calibri" w:hAnsi="Calibri" w:eastAsia="Calibri"/>
          <w:color w:val="111111"/>
          <w:sz w:val="22"/>
        </w:rPr>
        <w:t>DEV, TEST, RULE-SANDBOX, STAGING/UAT ve PRODUCTION ortamları ayrılır; production verisi geliştirmede kullanılmaz.</w:t>
      </w:r>
    </w:p>
    <w:p>
      <w:pPr>
        <w:pStyle w:val="ListBullet"/>
        <w:spacing w:after="80" w:line="300" w:lineRule="auto"/>
        <w:ind w:left="540" w:hanging="271"/>
      </w:pPr>
      <w:r>
        <w:rPr>
          <w:rFonts w:ascii="Calibri" w:hAnsi="Calibri" w:eastAsia="Calibri"/>
          <w:color w:val="111111"/>
          <w:sz w:val="22"/>
        </w:rPr>
        <w:t>Tenant kapsamı access token, row-level security, object-storage prefix, cache key ve job payload’ında zorunludur.</w:t>
      </w:r>
    </w:p>
    <w:p>
      <w:pPr>
        <w:pStyle w:val="ListBullet"/>
        <w:spacing w:after="80" w:line="300" w:lineRule="auto"/>
        <w:ind w:left="540" w:hanging="271"/>
      </w:pPr>
      <w:r>
        <w:rPr>
          <w:rFonts w:ascii="Calibri" w:hAnsi="Calibri" w:eastAsia="Calibri"/>
          <w:color w:val="111111"/>
          <w:sz w:val="22"/>
        </w:rPr>
        <w:t>Tüm miktar ve para hesapları Decimal ile yapılır; IEEE floating-point kullanılmaz.</w:t>
      </w:r>
    </w:p>
    <w:p>
      <w:pPr>
        <w:pStyle w:val="ListBullet"/>
        <w:spacing w:after="80" w:line="300" w:lineRule="auto"/>
        <w:ind w:left="540" w:hanging="271"/>
      </w:pPr>
      <w:r>
        <w:rPr>
          <w:rFonts w:ascii="Calibri" w:hAnsi="Calibri" w:eastAsia="Calibri"/>
          <w:color w:val="111111"/>
          <w:sz w:val="22"/>
        </w:rPr>
        <w:t>Idempotency key, import batch kimliği ve outbox olayı aynı işlemin tekrarında çift kayıt oluşmasını engeller.</w:t>
      </w:r>
    </w:p>
    <w:p>
      <w:pPr>
        <w:pStyle w:val="ListBullet"/>
        <w:spacing w:after="80" w:line="300" w:lineRule="auto"/>
        <w:ind w:left="540" w:hanging="271"/>
      </w:pPr>
      <w:r>
        <w:rPr>
          <w:rFonts w:ascii="Calibri" w:hAnsi="Calibri" w:eastAsia="Calibri"/>
          <w:color w:val="111111"/>
          <w:sz w:val="22"/>
        </w:rPr>
        <w:t>Onaylı snapshot, kural/değer sürümü ve input hash ile tekrar üretilebilir ve geriye dönük değişmezdir.</w:t>
      </w:r>
    </w:p>
    <w:p>
      <w:pPr>
        <w:pStyle w:val="Heading1"/>
        <w:keepNext/>
      </w:pPr>
      <w:r>
        <w:t>6. Fonksiyonel Modüller ve Gereksinimler</w:t>
      </w:r>
    </w:p>
    <w:tbl>
      <w:tblPr>
        <w:tblStyle w:val="TableGrid"/>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900"/>
        <w:gridCol w:w="1900"/>
        <w:gridCol w:w="5400"/>
        <w:gridCol w:w="1160"/>
      </w:tblGrid>
      <w:tr>
        <w:trPr>
          <w:tblHeader w:val="true"/>
        </w:trPr>
        <w:tc>
          <w:tcPr>
            <w:tcW w:type="dxa" w:w="9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5"/>
              </w:rPr>
              <w:t>ID</w:t>
            </w:r>
          </w:p>
        </w:tc>
        <w:tc>
          <w:tcPr>
            <w:tcW w:type="dxa" w:w="19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5"/>
              </w:rPr>
              <w:t>Modül</w:t>
            </w:r>
          </w:p>
        </w:tc>
        <w:tc>
          <w:tcPr>
            <w:tcW w:type="dxa" w:w="54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5"/>
              </w:rPr>
              <w:t>Gereksinim</w:t>
            </w:r>
          </w:p>
        </w:tc>
        <w:tc>
          <w:tcPr>
            <w:tcW w:type="dxa" w:w="116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5"/>
              </w:rPr>
              <w:t>Öncelik</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FR-001</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Tenant/Kuruluş</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Tenant, yasal kuruluş, EORI ve beyan sahibi hesabı</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Must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FR-002</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Kullanıcı/RBAC</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Rol, görev ayrılığı, MFA ve kapsam bazlı yetki</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Must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FR-010</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Ürün Kataloğu</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Ürün–CN–sektör–birim–net ağırlık ana verisi</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Must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FR-011</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Kural Kataloğu</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Annex I ve yürürlük tarihli kapsam kuralları</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Must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FR-012</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Kapsam Motoru</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CN, menşe, prosedür ve tarih bazlı açıklanabilir karar</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Must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FR-020</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İthalat Alımı</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Excel/CSV kanonik şema, staging ve hata raporu</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Must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FR-021</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Satır Eşleme</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Ürün, CN, kuruluş, tedarikçi ve tesis eşlemesi</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Must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FR-022</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Mutabakat</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Beyanname–ERP–fatura miktar ve değer kontrolü</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Must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FR-023</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Eşik Defteri</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Beyan sahibi/yıl bazında 50 ton birikimli takip</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Must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FR-024</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Eşik Tahmini</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Sipariş ve ithalat planıyla beklenen aşım tarihi</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Must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FR-030</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Tedarikçi Portalı</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Güvenli davet, talep paketi ve veri formu</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Must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FR-031</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Operatör/Tesis</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Üçüncü ülke operatörü, tesis ve O3CI kimliği</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Must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FR-032</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Proses</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Üretim rotası, sistem sınırı ve referans dönem</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Must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FR-033</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Öncül</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CN, tesis, miktar ve gömülü emisyon bağlantısı</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Must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FR-034</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Kaynak Verisi</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Yakıt, malzeme, elektrik, aktivite ve kanıt</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Must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FR-040</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Gerçek Emisyon</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Doğrudan/dolaylı ve öncül hesabı</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Must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FR-041</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Varsayılan Değer</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Ülke/yıl/CN/rota ve mark-up sürümü</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Must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FR-042</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Yöntem Seçimi</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ACTUAL_VERIFIED veya DEFAULT kararı</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Must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FR-043</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Hesap İzi</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Formül adımı, operand, birim, kaynak ve yuvarlama</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Must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FR-050</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Doğrulayıcı</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Akreditasyon kapsamı ve geçerlilik</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Must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FR-051</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Doğrulama Raporu</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Tesis, dönem, SEE, görüş, bulgu ve dosya</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Must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FR-052</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Bulgu Yönetimi</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Açık bulgu, aksiyon, termin ve kapanış</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Should</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FR-060</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Ücretsiz Tahsis</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Benchmark ve CBAM factor sürümü</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Must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FR-061</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Karbon Bedeli</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Üçüncü ülke ödeme kanıtı ve dönüştürme adaptörü</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Must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FR-062</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Sertifika Adedi</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İthalat/emisyon/düzeltme bazlı sonuç</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Must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FR-063</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Fiyat Kataloğu</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2026 çeyreklik, 2027+ haftalık fiyat</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Must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FR-064</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Maliyet Modeli</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Gerçekleşen, tahmin, P10/P50/P90 senaryosu</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Must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FR-070</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Beyan Çalışma Alanı</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Yıllık veri toplama, eksik, mutabakat ve onay</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Must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FR-071</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Snapshot</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Kural/veri/hesap/kanıt hash’li onay sürümü</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Must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FR-072</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Dışa Aktarım</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CSV/XLSX/JSON ve kanıt indeksi</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Must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FR-080</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Görev/SLA</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Sorumlu, termin, hatırlatma ve eskalasyon</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Must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FR-081</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Belge Kasası</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Virüs tarama, hash, sürüm ve erişim logu</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Must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FR-082</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Kontrol Kulesi</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Kapsam, eşik, veri, emisyon, maliyet ve beyan KPI</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Must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FR-083</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Audit</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Değişiklik, karar, hesap ve dışa aktarım olayları</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Must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FR-084</w:t>
            </w:r>
          </w:p>
        </w:tc>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Regulatory Watch</w:t>
            </w:r>
          </w:p>
        </w:tc>
        <w:tc>
          <w:tcPr>
            <w:tcW w:type="dxa" w:w="54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Taslak/yürürlükte kural ayrımı ve etki analizi</w:t>
            </w:r>
          </w:p>
        </w:tc>
        <w:tc>
          <w:tcPr>
            <w:tcW w:type="dxa" w:w="11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Should</w:t>
            </w:r>
          </w:p>
        </w:tc>
      </w:tr>
    </w:tbl>
    <w:p>
      <w:pPr>
        <w:spacing w:after="40"/>
      </w:pPr>
    </w:p>
    <w:p>
      <w:pPr>
        <w:pStyle w:val="Heading2"/>
        <w:keepNext/>
      </w:pPr>
      <w:r>
        <w:t>6.1 Kural Kataloğu Zorunlu Alanları</w:t>
      </w:r>
    </w:p>
    <w:p>
      <w:pPr>
        <w:numPr>
          <w:ilvl w:val="0"/>
          <w:numId w:val="12"/>
        </w:numPr>
        <w:spacing w:after="80" w:line="300" w:lineRule="auto"/>
      </w:pPr>
      <w:r>
        <w:rPr>
          <w:rFonts w:ascii="Calibri" w:hAnsi="Calibri" w:eastAsia="Calibri"/>
          <w:color w:val="111111"/>
          <w:sz w:val="22"/>
        </w:rPr>
        <w:t>rule_id, regulation_reference, source_url, effective_from, effective_to, priority ve status.</w:t>
      </w:r>
    </w:p>
    <w:p>
      <w:pPr>
        <w:numPr>
          <w:ilvl w:val="0"/>
          <w:numId w:val="12"/>
        </w:numPr>
        <w:spacing w:after="80" w:line="300" w:lineRule="auto"/>
      </w:pPr>
      <w:r>
        <w:rPr>
          <w:rFonts w:ascii="Calibri" w:hAnsi="Calibri" w:eastAsia="Calibri"/>
          <w:color w:val="111111"/>
          <w:sz w:val="22"/>
        </w:rPr>
        <w:t>scope: tenant/global; sector, CN range, country/origin group, procedure ve import year koşulları.</w:t>
      </w:r>
    </w:p>
    <w:p>
      <w:pPr>
        <w:numPr>
          <w:ilvl w:val="0"/>
          <w:numId w:val="12"/>
        </w:numPr>
        <w:spacing w:after="80" w:line="300" w:lineRule="auto"/>
      </w:pPr>
      <w:r>
        <w:rPr>
          <w:rFonts w:ascii="Calibri" w:hAnsi="Calibri" w:eastAsia="Calibri"/>
          <w:color w:val="111111"/>
          <w:sz w:val="22"/>
        </w:rPr>
        <w:t>input_schema, output_schema, validation_errors, reason_codes ve authorised_override policy.</w:t>
      </w:r>
    </w:p>
    <w:p>
      <w:pPr>
        <w:numPr>
          <w:ilvl w:val="0"/>
          <w:numId w:val="12"/>
        </w:numPr>
        <w:spacing w:after="80" w:line="300" w:lineRule="auto"/>
      </w:pPr>
      <w:r>
        <w:rPr>
          <w:rFonts w:ascii="Calibri" w:hAnsi="Calibri" w:eastAsia="Calibri"/>
          <w:color w:val="111111"/>
          <w:sz w:val="22"/>
        </w:rPr>
        <w:t>DRAFT → TECH_TESTED → CBAM_APPROVED → PUBLISHED → WITHDRAWN yaşam döngüsü.</w:t>
      </w:r>
    </w:p>
    <w:p>
      <w:pPr>
        <w:numPr>
          <w:ilvl w:val="0"/>
          <w:numId w:val="12"/>
        </w:numPr>
        <w:spacing w:after="80" w:line="300" w:lineRule="auto"/>
      </w:pPr>
      <w:r>
        <w:rPr>
          <w:rFonts w:ascii="Calibri" w:hAnsi="Calibri" w:eastAsia="Calibri"/>
          <w:color w:val="111111"/>
          <w:sz w:val="22"/>
        </w:rPr>
        <w:t>Yeni kural geçmiş onaylı sonucu yeniden yazmaz; kontrollü re-evaluation yeni snapshot üretir.</w:t>
      </w:r>
    </w:p>
    <w:p>
      <w:pPr>
        <w:pStyle w:val="Heading1"/>
        <w:keepNext/>
      </w:pPr>
      <w:r>
        <w:t>7. Uçtan Uca CBAM İş Akışları</w:t>
      </w:r>
    </w:p>
    <w:p>
      <w:pPr>
        <w:keepNext/>
        <w:jc w:val="center"/>
      </w:pPr>
      <w:r>
        <w:drawing>
          <wp:inline xmlns:a="http://schemas.openxmlformats.org/drawingml/2006/main" xmlns:pic="http://schemas.openxmlformats.org/drawingml/2006/picture">
            <wp:extent cx="5760720" cy="2818074"/>
            <wp:docPr id="1" name="Picture 1" descr="CBAM ithalat verisinden kapsam, eşik, tedarikçi, emisyon, doğrulama, yükümlülük ve beyan paketine uzanan uçtan uca iş akışı"/>
            <wp:cNvGraphicFramePr>
              <a:graphicFrameLocks noChangeAspect="1"/>
            </wp:cNvGraphicFramePr>
            <a:graphic>
              <a:graphicData uri="http://schemas.openxmlformats.org/drawingml/2006/picture">
                <pic:pic>
                  <pic:nvPicPr>
                    <pic:cNvPr id="0" name="cbam_e2e_flow.png"/>
                    <pic:cNvPicPr/>
                  </pic:nvPicPr>
                  <pic:blipFill>
                    <a:blip r:embed="rId11"/>
                    <a:stretch>
                      <a:fillRect/>
                    </a:stretch>
                  </pic:blipFill>
                  <pic:spPr>
                    <a:xfrm>
                      <a:off x="0" y="0"/>
                      <a:ext cx="5760720" cy="2818074"/>
                    </a:xfrm>
                    <a:prstGeom prst="rect"/>
                  </pic:spPr>
                </pic:pic>
              </a:graphicData>
            </a:graphic>
          </wp:inline>
        </w:drawing>
      </w:r>
    </w:p>
    <w:p>
      <w:pPr>
        <w:keepNext w:val="0"/>
        <w:spacing w:before="0" w:after="160" w:line="300" w:lineRule="auto"/>
        <w:jc w:val="center"/>
      </w:pPr>
      <w:r>
        <w:rPr>
          <w:rFonts w:ascii="Calibri" w:hAnsi="Calibri" w:eastAsia="Calibri"/>
          <w:b w:val="0"/>
          <w:i/>
          <w:color w:val="667085"/>
          <w:sz w:val="18"/>
        </w:rPr>
        <w:t>Şekil 1 — CBAM kapsam, veri, emisyon ve beyan hazırlık akışı</w:t>
      </w:r>
    </w:p>
    <w:p>
      <w:pPr>
        <w:pStyle w:val="Heading2"/>
        <w:keepNext/>
      </w:pPr>
      <w:r>
        <w:t>7.1 Müşteri Başlangıç Akışı</w:t>
      </w:r>
    </w:p>
    <w:p>
      <w:pPr>
        <w:numPr>
          <w:ilvl w:val="0"/>
          <w:numId w:val="13"/>
        </w:numPr>
        <w:spacing w:after="80" w:line="300" w:lineRule="auto"/>
      </w:pPr>
      <w:r>
        <w:rPr>
          <w:rFonts w:ascii="Calibri" w:hAnsi="Calibri" w:eastAsia="Calibri"/>
          <w:color w:val="111111"/>
          <w:sz w:val="22"/>
        </w:rPr>
        <w:t>Tenant, yasal kuruluşlar, EORI, ithalatçı/temsilci ve yetkili beyan sahibi hesapları tanımlanır.</w:t>
      </w:r>
    </w:p>
    <w:p>
      <w:pPr>
        <w:numPr>
          <w:ilvl w:val="0"/>
          <w:numId w:val="13"/>
        </w:numPr>
        <w:spacing w:after="80" w:line="300" w:lineRule="auto"/>
      </w:pPr>
      <w:r>
        <w:rPr>
          <w:rFonts w:ascii="Calibri" w:hAnsi="Calibri" w:eastAsia="Calibri"/>
          <w:color w:val="111111"/>
          <w:sz w:val="22"/>
        </w:rPr>
        <w:t>Ürün, CN, tedarikçi, geçmiş ithalat ve 2026 plan verileri dry-run alanına alınır.</w:t>
      </w:r>
    </w:p>
    <w:p>
      <w:pPr>
        <w:numPr>
          <w:ilvl w:val="0"/>
          <w:numId w:val="13"/>
        </w:numPr>
        <w:spacing w:after="80" w:line="300" w:lineRule="auto"/>
      </w:pPr>
      <w:r>
        <w:rPr>
          <w:rFonts w:ascii="Calibri" w:hAnsi="Calibri" w:eastAsia="Calibri"/>
          <w:color w:val="111111"/>
          <w:sz w:val="22"/>
        </w:rPr>
        <w:t>CN ve veri kalitesi hataları düzeltilir; Annex I kapsam sonuçları CBAM uzmanı tarafından örneklenir.</w:t>
      </w:r>
    </w:p>
    <w:p>
      <w:pPr>
        <w:numPr>
          <w:ilvl w:val="0"/>
          <w:numId w:val="13"/>
        </w:numPr>
        <w:spacing w:after="80" w:line="300" w:lineRule="auto"/>
      </w:pPr>
      <w:r>
        <w:rPr>
          <w:rFonts w:ascii="Calibri" w:hAnsi="Calibri" w:eastAsia="Calibri"/>
          <w:color w:val="111111"/>
          <w:sz w:val="22"/>
        </w:rPr>
        <w:t>50 ton eşik defteri 2026 yılı için geçmiş ve planlanan ithalatla başlatılır.</w:t>
      </w:r>
    </w:p>
    <w:p>
      <w:pPr>
        <w:numPr>
          <w:ilvl w:val="0"/>
          <w:numId w:val="13"/>
        </w:numPr>
        <w:spacing w:after="80" w:line="300" w:lineRule="auto"/>
      </w:pPr>
      <w:r>
        <w:rPr>
          <w:rFonts w:ascii="Calibri" w:hAnsi="Calibri" w:eastAsia="Calibri"/>
          <w:color w:val="111111"/>
          <w:sz w:val="22"/>
        </w:rPr>
        <w:t>Tedarikçi/operatör/tesis bazında emisyon veri talep paketleri ve SLA’lar oluşturulur.</w:t>
      </w:r>
    </w:p>
    <w:p>
      <w:pPr>
        <w:numPr>
          <w:ilvl w:val="0"/>
          <w:numId w:val="13"/>
        </w:numPr>
        <w:spacing w:after="80" w:line="300" w:lineRule="auto"/>
      </w:pPr>
      <w:r>
        <w:rPr>
          <w:rFonts w:ascii="Calibri" w:hAnsi="Calibri" w:eastAsia="Calibri"/>
          <w:color w:val="111111"/>
          <w:sz w:val="22"/>
        </w:rPr>
        <w:t>Kanonik hesap vakaları, maliyet senaryoları ve beyan çalışma alanı UAT’ye alınır.</w:t>
      </w:r>
    </w:p>
    <w:p>
      <w:pPr>
        <w:pStyle w:val="Heading2"/>
        <w:keepNext/>
      </w:pPr>
      <w:r>
        <w:t>7.2 İthalat Satırı Yaşam Döngüsü</w:t>
      </w:r>
    </w:p>
    <w:tbl>
      <w:tblPr>
        <w:tblStyle w:val="TableGrid"/>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2000"/>
        <w:gridCol w:w="4250"/>
        <w:gridCol w:w="3110"/>
      </w:tblGrid>
      <w:tr>
        <w:trPr>
          <w:tblHeader w:val="true"/>
        </w:trPr>
        <w:tc>
          <w:tcPr>
            <w:tcW w:type="dxa" w:w="20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Durum</w:t>
            </w:r>
          </w:p>
        </w:tc>
        <w:tc>
          <w:tcPr>
            <w:tcW w:type="dxa" w:w="425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Giriş kapısı</w:t>
            </w:r>
          </w:p>
        </w:tc>
        <w:tc>
          <w:tcPr>
            <w:tcW w:type="dxa" w:w="311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İzin verilen sonraki adım</w:t>
            </w:r>
          </w:p>
        </w:tc>
      </w:tr>
      <w:tr>
        <w:tc>
          <w:tcPr>
            <w:tcW w:type="dxa" w:w="2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IMPORTED</w:t>
            </w:r>
          </w:p>
        </w:tc>
        <w:tc>
          <w:tcPr>
            <w:tcW w:type="dxa" w:w="42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Dosya/API alımı ve şema geçerli</w:t>
            </w:r>
          </w:p>
        </w:tc>
        <w:tc>
          <w:tcPr>
            <w:tcW w:type="dxa" w:w="31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VALIDATING</w:t>
            </w:r>
          </w:p>
        </w:tc>
      </w:tr>
      <w:tr>
        <w:tc>
          <w:tcPr>
            <w:tcW w:type="dxa" w:w="2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VALIDATING</w:t>
            </w:r>
          </w:p>
        </w:tc>
        <w:tc>
          <w:tcPr>
            <w:tcW w:type="dxa" w:w="42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CN, menşe, prosedür, miktar, EORI kontrolü</w:t>
            </w:r>
          </w:p>
        </w:tc>
        <w:tc>
          <w:tcPr>
            <w:tcW w:type="dxa" w:w="31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NEEDS_DATA / CLASSIFIED</w:t>
            </w:r>
          </w:p>
        </w:tc>
      </w:tr>
      <w:tr>
        <w:tc>
          <w:tcPr>
            <w:tcW w:type="dxa" w:w="2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CLASSIFIED</w:t>
            </w:r>
          </w:p>
        </w:tc>
        <w:tc>
          <w:tcPr>
            <w:tcW w:type="dxa" w:w="42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Kapsam ve sektör sonucu oluştu</w:t>
            </w:r>
          </w:p>
        </w:tc>
        <w:tc>
          <w:tcPr>
            <w:tcW w:type="dxa" w:w="31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THRESHOLD_TRACKING / APPLICABLE</w:t>
            </w:r>
          </w:p>
        </w:tc>
      </w:tr>
      <w:tr>
        <w:tc>
          <w:tcPr>
            <w:tcW w:type="dxa" w:w="2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THRESHOLD_TRACKING</w:t>
            </w:r>
          </w:p>
        </w:tc>
        <w:tc>
          <w:tcPr>
            <w:tcW w:type="dxa" w:w="42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Yıllık net kütle defterine işlendi</w:t>
            </w:r>
          </w:p>
        </w:tc>
        <w:tc>
          <w:tcPr>
            <w:tcW w:type="dxa" w:w="31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EXEMPT_BELOW_THRESHOLD / APPLICABLE</w:t>
            </w:r>
          </w:p>
        </w:tc>
      </w:tr>
      <w:tr>
        <w:tc>
          <w:tcPr>
            <w:tcW w:type="dxa" w:w="2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NEEDS_DATA</w:t>
            </w:r>
          </w:p>
        </w:tc>
        <w:tc>
          <w:tcPr>
            <w:tcW w:type="dxa" w:w="42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Eksik/hatalı alan veya eşleme</w:t>
            </w:r>
          </w:p>
        </w:tc>
        <w:tc>
          <w:tcPr>
            <w:tcW w:type="dxa" w:w="31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VALIDATING</w:t>
            </w:r>
          </w:p>
        </w:tc>
      </w:tr>
      <w:tr>
        <w:tc>
          <w:tcPr>
            <w:tcW w:type="dxa" w:w="2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APPLICABLE</w:t>
            </w:r>
          </w:p>
        </w:tc>
        <w:tc>
          <w:tcPr>
            <w:tcW w:type="dxa" w:w="42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Yükümlülük ve veri talebi açık</w:t>
            </w:r>
          </w:p>
        </w:tc>
        <w:tc>
          <w:tcPr>
            <w:tcW w:type="dxa" w:w="31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EMISSION_PENDING</w:t>
            </w:r>
          </w:p>
        </w:tc>
      </w:tr>
      <w:tr>
        <w:tc>
          <w:tcPr>
            <w:tcW w:type="dxa" w:w="2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EMISSION_PENDING</w:t>
            </w:r>
          </w:p>
        </w:tc>
        <w:tc>
          <w:tcPr>
            <w:tcW w:type="dxa" w:w="42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Gerçek/default yöntem girdisi bekleniyor</w:t>
            </w:r>
          </w:p>
        </w:tc>
        <w:tc>
          <w:tcPr>
            <w:tcW w:type="dxa" w:w="31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CALCULATED</w:t>
            </w:r>
          </w:p>
        </w:tc>
      </w:tr>
      <w:tr>
        <w:tc>
          <w:tcPr>
            <w:tcW w:type="dxa" w:w="2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CALCULATED</w:t>
            </w:r>
          </w:p>
        </w:tc>
        <w:tc>
          <w:tcPr>
            <w:tcW w:type="dxa" w:w="42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Emisyon ve mali yükümlülük hesaplandı</w:t>
            </w:r>
          </w:p>
        </w:tc>
        <w:tc>
          <w:tcPr>
            <w:tcW w:type="dxa" w:w="31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REVIEWED</w:t>
            </w:r>
          </w:p>
        </w:tc>
      </w:tr>
      <w:tr>
        <w:tc>
          <w:tcPr>
            <w:tcW w:type="dxa" w:w="2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REVIEWED</w:t>
            </w:r>
          </w:p>
        </w:tc>
        <w:tc>
          <w:tcPr>
            <w:tcW w:type="dxa" w:w="42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Uzman ve finans kontrolleri tamam</w:t>
            </w:r>
          </w:p>
        </w:tc>
        <w:tc>
          <w:tcPr>
            <w:tcW w:type="dxa" w:w="31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DECLARATION_READY</w:t>
            </w:r>
          </w:p>
        </w:tc>
      </w:tr>
      <w:tr>
        <w:tc>
          <w:tcPr>
            <w:tcW w:type="dxa" w:w="2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DECLARATION_READY</w:t>
            </w:r>
          </w:p>
        </w:tc>
        <w:tc>
          <w:tcPr>
            <w:tcW w:type="dxa" w:w="42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Yıllık snapshot ve kanıt indeksi hazır</w:t>
            </w:r>
          </w:p>
        </w:tc>
        <w:tc>
          <w:tcPr>
            <w:tcW w:type="dxa" w:w="31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EXPORTED</w:t>
            </w:r>
          </w:p>
        </w:tc>
      </w:tr>
    </w:tbl>
    <w:p>
      <w:pPr>
        <w:spacing w:after="40"/>
      </w:pPr>
    </w:p>
    <w:p>
      <w:pPr>
        <w:pStyle w:val="Heading2"/>
        <w:keepNext/>
      </w:pPr>
      <w:r>
        <w:t>7.3 Tedarikçi ve Doğrulama Akışı</w:t>
      </w:r>
    </w:p>
    <w:p>
      <w:pPr>
        <w:numPr>
          <w:ilvl w:val="0"/>
          <w:numId w:val="14"/>
        </w:numPr>
        <w:spacing w:after="80" w:line="300" w:lineRule="auto"/>
      </w:pPr>
      <w:r>
        <w:rPr>
          <w:rFonts w:ascii="Calibri" w:hAnsi="Calibri" w:eastAsia="Calibri"/>
          <w:color w:val="111111"/>
          <w:sz w:val="22"/>
        </w:rPr>
        <w:t>Talep paketi sektör, CN, tesis, proses, referans dönem, yöntem ve zorunlu kanıtları belirtir.</w:t>
      </w:r>
    </w:p>
    <w:p>
      <w:pPr>
        <w:numPr>
          <w:ilvl w:val="0"/>
          <w:numId w:val="14"/>
        </w:numPr>
        <w:spacing w:after="80" w:line="300" w:lineRule="auto"/>
      </w:pPr>
      <w:r>
        <w:rPr>
          <w:rFonts w:ascii="Calibri" w:hAnsi="Calibri" w:eastAsia="Calibri"/>
          <w:color w:val="111111"/>
          <w:sz w:val="22"/>
        </w:rPr>
        <w:t>Operatör, tesis ve üretim prosesi bilgilerini; aktivite, yakıt, elektrik ve öncül verileriyle tamamlar.</w:t>
      </w:r>
    </w:p>
    <w:p>
      <w:pPr>
        <w:numPr>
          <w:ilvl w:val="0"/>
          <w:numId w:val="14"/>
        </w:numPr>
        <w:spacing w:after="80" w:line="300" w:lineRule="auto"/>
      </w:pPr>
      <w:r>
        <w:rPr>
          <w:rFonts w:ascii="Calibri" w:hAnsi="Calibri" w:eastAsia="Calibri"/>
          <w:color w:val="111111"/>
          <w:sz w:val="22"/>
        </w:rPr>
        <w:t>Sistem birim, dönem, veri tamlığı, sistem sınırı ve toplam aktivite/emisyon mutabakatını çalıştırır.</w:t>
      </w:r>
    </w:p>
    <w:p>
      <w:pPr>
        <w:numPr>
          <w:ilvl w:val="0"/>
          <w:numId w:val="14"/>
        </w:numPr>
        <w:spacing w:after="80" w:line="300" w:lineRule="auto"/>
      </w:pPr>
      <w:r>
        <w:rPr>
          <w:rFonts w:ascii="Calibri" w:hAnsi="Calibri" w:eastAsia="Calibri"/>
          <w:color w:val="111111"/>
          <w:sz w:val="22"/>
        </w:rPr>
        <w:t>Gerçek veri seçilecekse doğrulayıcı, akreditasyon kapsamı, tesis ve rapor dönemi eşleştirilir.</w:t>
      </w:r>
    </w:p>
    <w:p>
      <w:pPr>
        <w:numPr>
          <w:ilvl w:val="0"/>
          <w:numId w:val="14"/>
        </w:numPr>
        <w:spacing w:after="80" w:line="300" w:lineRule="auto"/>
      </w:pPr>
      <w:r>
        <w:rPr>
          <w:rFonts w:ascii="Calibri" w:hAnsi="Calibri" w:eastAsia="Calibri"/>
          <w:color w:val="111111"/>
          <w:sz w:val="22"/>
        </w:rPr>
        <w:t>Açık doğrulama bulguları kapanmadan veri ACTUAL_VERIFIED statüsüne geçemez.</w:t>
      </w:r>
    </w:p>
    <w:p>
      <w:pPr>
        <w:numPr>
          <w:ilvl w:val="0"/>
          <w:numId w:val="14"/>
        </w:numPr>
        <w:spacing w:after="80" w:line="300" w:lineRule="auto"/>
      </w:pPr>
      <w:r>
        <w:rPr>
          <w:rFonts w:ascii="Calibri" w:hAnsi="Calibri" w:eastAsia="Calibri"/>
          <w:color w:val="111111"/>
          <w:sz w:val="22"/>
        </w:rPr>
        <w:t>Gerçek veri sağlanamazsa uygun ülke/yıl/CN/rota varsayılan değeri ve mark-up uygulanır.</w:t>
      </w:r>
    </w:p>
    <w:p>
      <w:pPr>
        <w:pStyle w:val="Heading2"/>
        <w:keepNext/>
      </w:pPr>
      <w:r>
        <w:t>7.4 Yıllık Beyan Hazırlık Akışı</w:t>
      </w:r>
    </w:p>
    <w:p>
      <w:pPr>
        <w:numPr>
          <w:ilvl w:val="0"/>
          <w:numId w:val="15"/>
        </w:numPr>
        <w:spacing w:after="80" w:line="300" w:lineRule="auto"/>
      </w:pPr>
      <w:r>
        <w:rPr>
          <w:rFonts w:ascii="Calibri" w:hAnsi="Calibri" w:eastAsia="Calibri"/>
          <w:color w:val="111111"/>
          <w:sz w:val="22"/>
        </w:rPr>
        <w:t>Takvim yılı içindeki uygulanabilir ithalat satırları ve düzeltmeler dondurulur.</w:t>
      </w:r>
    </w:p>
    <w:p>
      <w:pPr>
        <w:numPr>
          <w:ilvl w:val="0"/>
          <w:numId w:val="15"/>
        </w:numPr>
        <w:spacing w:after="80" w:line="300" w:lineRule="auto"/>
      </w:pPr>
      <w:r>
        <w:rPr>
          <w:rFonts w:ascii="Calibri" w:hAnsi="Calibri" w:eastAsia="Calibri"/>
          <w:color w:val="111111"/>
          <w:sz w:val="22"/>
        </w:rPr>
        <w:t>Miktar, emisyon yöntemi, doğrulama raporu, benchmark ve karbon bedeli kontrolleri çalışır.</w:t>
      </w:r>
    </w:p>
    <w:p>
      <w:pPr>
        <w:numPr>
          <w:ilvl w:val="0"/>
          <w:numId w:val="15"/>
        </w:numPr>
        <w:spacing w:after="80" w:line="300" w:lineRule="auto"/>
      </w:pPr>
      <w:r>
        <w:rPr>
          <w:rFonts w:ascii="Calibri" w:hAnsi="Calibri" w:eastAsia="Calibri"/>
          <w:color w:val="111111"/>
          <w:sz w:val="22"/>
        </w:rPr>
        <w:t>Satır ve mal grubu bazında sertifika adedi; negatif sonuç sıfıra tabanlanarak hesaplanır.</w:t>
      </w:r>
    </w:p>
    <w:p>
      <w:pPr>
        <w:numPr>
          <w:ilvl w:val="0"/>
          <w:numId w:val="15"/>
        </w:numPr>
        <w:spacing w:after="80" w:line="300" w:lineRule="auto"/>
      </w:pPr>
      <w:r>
        <w:rPr>
          <w:rFonts w:ascii="Calibri" w:hAnsi="Calibri" w:eastAsia="Calibri"/>
          <w:color w:val="111111"/>
          <w:sz w:val="22"/>
        </w:rPr>
        <w:t>2026 ithalatları ilgili çeyrek fiyatlarıyla; gelecek dönemler geçerli fiyat veri setiyle bütçelenir.</w:t>
      </w:r>
    </w:p>
    <w:p>
      <w:pPr>
        <w:numPr>
          <w:ilvl w:val="0"/>
          <w:numId w:val="15"/>
        </w:numPr>
        <w:spacing w:after="80" w:line="300" w:lineRule="auto"/>
      </w:pPr>
      <w:r>
        <w:rPr>
          <w:rFonts w:ascii="Calibri" w:hAnsi="Calibri" w:eastAsia="Calibri"/>
          <w:color w:val="111111"/>
          <w:sz w:val="22"/>
        </w:rPr>
        <w:t>Uzman, finans ve yetkili beyan sahibi dört göz onayı tamamlanır.</w:t>
      </w:r>
    </w:p>
    <w:p>
      <w:pPr>
        <w:numPr>
          <w:ilvl w:val="0"/>
          <w:numId w:val="15"/>
        </w:numPr>
        <w:spacing w:after="80" w:line="300" w:lineRule="auto"/>
      </w:pPr>
      <w:r>
        <w:rPr>
          <w:rFonts w:ascii="Calibri" w:hAnsi="Calibri" w:eastAsia="Calibri"/>
          <w:color w:val="111111"/>
          <w:sz w:val="22"/>
        </w:rPr>
        <w:t>Onaylı snapshot, dışa aktarım dosyası, kanıt indeksi ve yönetim özetini üretir.</w:t>
      </w:r>
    </w:p>
    <w:p>
      <w:pPr>
        <w:pStyle w:val="Heading1"/>
        <w:keepNext/>
      </w:pPr>
      <w:r>
        <w:t>8. Kural, Emisyon ve Yükümlülük Motorları</w:t>
      </w:r>
    </w:p>
    <w:tbl>
      <w:tblPr>
        <w:tblW w:type="dxa" w:w="9360"/>
        <w:jc w:val="left"/>
        <w:tblLayout w:type="fixed"/>
        <w:tblLook w:firstColumn="1" w:firstRow="1" w:lastColumn="0" w:lastRow="0" w:noHBand="0" w:noVBand="1" w:val="04A0"/>
        <w:tblInd w:w="120" w:type="dxa"/>
        <w:tblBorders>
          <w:top w:val="single" w:sz="8" w:space="0" w:color="D27B74"/>
          <w:left w:val="single" w:sz="8" w:space="0" w:color="D27B74"/>
          <w:bottom w:val="single" w:sz="8" w:space="0" w:color="D27B74"/>
          <w:right w:val="single" w:sz="8" w:space="0" w:color="D27B74"/>
          <w:insideH w:val="single" w:sz="8" w:space="0" w:color="D27B74"/>
          <w:insideV w:val="single" w:sz="8" w:space="0" w:color="D27B74"/>
        </w:tblBorders>
      </w:tblPr>
      <w:tblGrid>
        <w:gridCol w:w="9360"/>
      </w:tblGrid>
      <w:tr>
        <w:trPr>
          <w:cantSplit/>
        </w:trPr>
        <w:tc>
          <w:tcPr>
            <w:tcW w:type="dxa" w:w="9360"/>
            <w:shd w:fill="FCE8E6"/>
            <w:tcMar>
              <w:top w:w="140" w:type="dxa"/>
              <w:start w:w="180" w:type="dxa"/>
              <w:bottom w:w="140" w:type="dxa"/>
              <w:end w:w="180" w:type="dxa"/>
            </w:tcMar>
            <w:vAlign w:val="center"/>
          </w:tcPr>
          <w:p>
            <w:pPr>
              <w:spacing w:after="0" w:line="276" w:lineRule="auto"/>
            </w:pPr>
            <w:r/>
            <w:r>
              <w:rPr>
                <w:rFonts w:ascii="Calibri" w:hAnsi="Calibri" w:eastAsia="Calibri"/>
                <w:b/>
                <w:color w:val="0B2545"/>
                <w:sz w:val="20"/>
              </w:rPr>
              <w:t xml:space="preserve">Hukukî güvenlik: </w:t>
            </w:r>
            <w:r>
              <w:rPr>
                <w:rFonts w:ascii="Calibri" w:hAnsi="Calibri" w:eastAsia="Calibri"/>
                <w:color w:val="111111"/>
                <w:sz w:val="20"/>
              </w:rPr>
              <w:t>Sistem otomatik bir kapsam veya maliyet sonucu üretse bile CN sınıflandırması, menşe, üretim yöntemi, doğrulama ve üçüncü ülke karbon bedeli bakımından belirsiz vakalar yetkili incelemeye yönlendirilir. Kural motoru kararın gerekçesini gösterir; mevzuat uzmanının sorumluluğunu ikame etmez.</w:t>
            </w:r>
          </w:p>
        </w:tc>
      </w:tr>
    </w:tbl>
    <w:p>
      <w:pPr>
        <w:keepNext w:val="0"/>
        <w:spacing w:before="0" w:after="40" w:line="300" w:lineRule="auto"/>
        <w:jc w:val="left"/>
      </w:pPr>
      <w:r>
        <w:rPr>
          <w:rFonts w:ascii="Calibri" w:hAnsi="Calibri" w:eastAsia="Calibri"/>
          <w:b w:val="0"/>
          <w:i w:val="0"/>
          <w:color w:val="111111"/>
          <w:sz w:val="22"/>
        </w:rPr>
      </w:r>
    </w:p>
    <w:p>
      <w:pPr>
        <w:pStyle w:val="Heading2"/>
        <w:keepNext/>
      </w:pPr>
      <w:r>
        <w:t>8.1 Ürün ve İthalat Kapsam Algoritması</w:t>
      </w:r>
    </w:p>
    <w:tbl>
      <w:tblPr>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9360"/>
      </w:tblGrid>
      <w:tr>
        <w:trPr>
          <w:cantSplit/>
        </w:trPr>
        <w:tc>
          <w:tcPr>
            <w:tcW w:type="dxa" w:w="9360"/>
            <w:shd w:fill="F7F8FA"/>
            <w:tcMar>
              <w:top w:w="130" w:type="dxa"/>
              <w:start w:w="180" w:type="dxa"/>
              <w:bottom w:w="130" w:type="dxa"/>
              <w:end w:w="180" w:type="dxa"/>
            </w:tcMar>
            <w:vAlign w:val="center"/>
          </w:tcPr>
          <w:p>
            <w:pPr>
              <w:spacing w:after="0" w:line="240" w:lineRule="auto"/>
            </w:pPr>
            <w:r/>
            <w:r>
              <w:rPr>
                <w:rFonts w:ascii="Consolas" w:hAnsi="Consolas" w:eastAsia="Consolas"/>
                <w:color w:val="1F2937"/>
                <w:sz w:val="16"/>
              </w:rPr>
              <w:t>function evaluateScope(importLine, ruleset):</w:t>
              <w:br/>
              <w:t xml:space="preserve">  cnRule = ruleset.annexI.lookup(importLine.cn_code, importLine.acceptance_date)</w:t>
              <w:br/>
              <w:t xml:space="preserve">  if cnRule is null:</w:t>
              <w:br/>
              <w:t xml:space="preserve">      return OUT_OF_SCOPE("CN_NOT_IN_ANNEX_I")</w:t>
              <w:br/>
              <w:br/>
              <w:t xml:space="preserve">  if ruleset.exemptOrigin.contains(importLine.origin_country):</w:t>
              <w:br/>
              <w:t xml:space="preserve">      return EXEMPT("ORIGIN_LINKED_TO_EU_ETS")</w:t>
              <w:br/>
              <w:br/>
              <w:t xml:space="preserve">  if not ruleset.procedure.isRelevant(importLine.customs_procedure):</w:t>
              <w:br/>
              <w:t xml:space="preserve">      return OUT_OF_SCOPE("PROCEDURE_NOT_RELEVANT")</w:t>
              <w:br/>
              <w:br/>
              <w:t xml:space="preserve">  return IN_SCOPE(</w:t>
              <w:br/>
              <w:t xml:space="preserve">      sector=cnRule.sector,</w:t>
              <w:br/>
              <w:t xml:space="preserve">      functional_unit=cnRule.functional_unit,</w:t>
              <w:br/>
              <w:t xml:space="preserve">      direct_indirect_policy=cnRule.emission_scope,</w:t>
              <w:br/>
              <w:t xml:space="preserve">      reason_codes=["CN_IN_ANNEX_I", "RELEVANT_IMPORT_EVENT"]</w:t>
              <w:br/>
              <w:t xml:space="preserve">  )</w:t>
            </w:r>
          </w:p>
        </w:tc>
      </w:tr>
    </w:tbl>
    <w:p>
      <w:pPr>
        <w:keepNext w:val="0"/>
        <w:spacing w:before="0" w:after="40" w:line="300" w:lineRule="auto"/>
        <w:jc w:val="left"/>
      </w:pPr>
      <w:r>
        <w:rPr>
          <w:rFonts w:ascii="Calibri" w:hAnsi="Calibri" w:eastAsia="Calibri"/>
          <w:b w:val="0"/>
          <w:i w:val="0"/>
          <w:color w:val="111111"/>
          <w:sz w:val="22"/>
        </w:rPr>
      </w:r>
    </w:p>
    <w:p>
      <w:pPr>
        <w:pStyle w:val="Heading2"/>
        <w:keepNext/>
      </w:pPr>
      <w:r>
        <w:t>8.2 Yıllık 50 Ton Eşik Motoru</w:t>
      </w:r>
    </w:p>
    <w:tbl>
      <w:tblPr>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9360"/>
      </w:tblGrid>
      <w:tr>
        <w:trPr>
          <w:cantSplit/>
        </w:trPr>
        <w:tc>
          <w:tcPr>
            <w:tcW w:type="dxa" w:w="9360"/>
            <w:shd w:fill="F7F8FA"/>
            <w:tcMar>
              <w:top w:w="130" w:type="dxa"/>
              <w:start w:w="180" w:type="dxa"/>
              <w:bottom w:w="130" w:type="dxa"/>
              <w:end w:w="180" w:type="dxa"/>
            </w:tcMar>
            <w:vAlign w:val="center"/>
          </w:tcPr>
          <w:p>
            <w:pPr>
              <w:spacing w:after="0" w:line="240" w:lineRule="auto"/>
            </w:pPr>
            <w:r/>
            <w:r>
              <w:rPr>
                <w:rFonts w:ascii="Consolas" w:hAnsi="Consolas" w:eastAsia="Consolas"/>
                <w:color w:val="1F2937"/>
                <w:sz w:val="16"/>
              </w:rPr>
              <w:t>function evaluateThreshold(declarant, importLine, year):</w:t>
              <w:br/>
              <w:t xml:space="preserve">  scope = evaluateScope(importLine, activeRuleset(importLine.acceptance_date))</w:t>
              <w:br/>
              <w:t xml:space="preserve">  if scope != IN_SCOPE: return scope</w:t>
              <w:br/>
              <w:br/>
              <w:t xml:space="preserve">  if scope.sector in ["ELECTRICITY", "HYDROGEN"]:</w:t>
              <w:br/>
              <w:t xml:space="preserve">      return APPLICABLE("THRESHOLD_NOT_AVAILABLE_FOR_SECTOR")</w:t>
              <w:br/>
              <w:br/>
              <w:t xml:space="preserve">  lineMassT = convert(importLine.net_mass, importLine.mass_unit, "t")</w:t>
              <w:br/>
              <w:t xml:space="preserve">  realisedT = thresholdLedger.sumNetMass(declarant.id, year)</w:t>
              <w:br/>
              <w:t xml:space="preserve">  forecastT = importPlan.forecastNetMass(declarant.id, year)</w:t>
              <w:br/>
              <w:t xml:space="preserve">  projectedT = realisedT + lineMassT + forecastT</w:t>
              <w:br/>
              <w:br/>
              <w:t xml:space="preserve">  threshold = ruleset.threshold(year)  // 50 t in current rule version</w:t>
              <w:br/>
              <w:t xml:space="preserve">  if projectedT &gt;= threshold:</w:t>
              <w:br/>
              <w:t xml:space="preserve">      return APPLICABLE("THRESHOLD_REACHED_OR_FORESEEABLE",</w:t>
              <w:br/>
              <w:t xml:space="preserve">                        realisedT, projectedT, threshold)</w:t>
              <w:br/>
              <w:t xml:space="preserve">  return EXEMPT_BELOW_THRESHOLD(realisedT + lineMassT, projectedT, threshold)</w:t>
            </w:r>
          </w:p>
        </w:tc>
      </w:tr>
    </w:tbl>
    <w:p>
      <w:pPr>
        <w:keepNext w:val="0"/>
        <w:spacing w:before="0" w:after="40" w:line="300" w:lineRule="auto"/>
        <w:jc w:val="left"/>
      </w:pPr>
      <w:r>
        <w:rPr>
          <w:rFonts w:ascii="Calibri" w:hAnsi="Calibri" w:eastAsia="Calibri"/>
          <w:b w:val="0"/>
          <w:i w:val="0"/>
          <w:color w:val="111111"/>
          <w:sz w:val="22"/>
        </w:rPr>
      </w:r>
    </w:p>
    <w:p>
      <w:pPr>
        <w:pStyle w:val="Heading2"/>
        <w:keepNext/>
      </w:pPr>
      <w:r>
        <w:t>8.3 Emisyon Yöntemi Seçimi</w:t>
      </w:r>
    </w:p>
    <w:tbl>
      <w:tblPr>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9360"/>
      </w:tblGrid>
      <w:tr>
        <w:trPr>
          <w:cantSplit/>
        </w:trPr>
        <w:tc>
          <w:tcPr>
            <w:tcW w:type="dxa" w:w="9360"/>
            <w:shd w:fill="F7F8FA"/>
            <w:tcMar>
              <w:top w:w="130" w:type="dxa"/>
              <w:start w:w="180" w:type="dxa"/>
              <w:bottom w:w="130" w:type="dxa"/>
              <w:end w:w="180" w:type="dxa"/>
            </w:tcMar>
            <w:vAlign w:val="center"/>
          </w:tcPr>
          <w:p>
            <w:pPr>
              <w:spacing w:after="0" w:line="240" w:lineRule="auto"/>
            </w:pPr>
            <w:r/>
            <w:r>
              <w:rPr>
                <w:rFonts w:ascii="Consolas" w:hAnsi="Consolas" w:eastAsia="Consolas"/>
                <w:color w:val="1F2937"/>
                <w:sz w:val="16"/>
              </w:rPr>
              <w:t>function selectEmissionMethod(good, installation, period):</w:t>
              <w:br/>
              <w:t xml:space="preserve">  actual = emissionReport.find(good, installation, period)</w:t>
              <w:br/>
              <w:t xml:space="preserve">  verification = verificationReport.find(installation, period)</w:t>
              <w:br/>
              <w:br/>
              <w:t xml:space="preserve">  if actual.complete</w:t>
              <w:br/>
              <w:t xml:space="preserve">     and verification.opinion == "SATISFACTORY"</w:t>
              <w:br/>
              <w:t xml:space="preserve">     and verification.accreditationValid</w:t>
              <w:br/>
              <w:t xml:space="preserve">     and verification.scopeCovers(good.sector, installation):</w:t>
              <w:br/>
              <w:t xml:space="preserve">      return ACTUAL_VERIFIED(actual.id, verification.id)</w:t>
              <w:br/>
              <w:br/>
              <w:t xml:space="preserve">  defaultRule = defaultCatalog.resolve(</w:t>
              <w:br/>
              <w:t xml:space="preserve">      year=period.import_year,</w:t>
              <w:br/>
              <w:t xml:space="preserve">      cn=good.cn_code,</w:t>
              <w:br/>
              <w:t xml:space="preserve">      production_country=good.production_country,</w:t>
              <w:br/>
              <w:t xml:space="preserve">      production_route=good.production_route</w:t>
              <w:br/>
              <w:t xml:space="preserve">  )</w:t>
              <w:br/>
              <w:t xml:space="preserve">  if defaultRule is null: return BLOCKED("DEFAULT_VALUE_NOT_FOUND")</w:t>
              <w:br/>
              <w:t xml:space="preserve">  return DEFAULT(defaultRule.valueWithApplicableMarkup, defaultRule.version)</w:t>
            </w:r>
          </w:p>
        </w:tc>
      </w:tr>
    </w:tbl>
    <w:p>
      <w:pPr>
        <w:keepNext w:val="0"/>
        <w:spacing w:before="0" w:after="40" w:line="300" w:lineRule="auto"/>
        <w:jc w:val="left"/>
      </w:pPr>
      <w:r>
        <w:rPr>
          <w:rFonts w:ascii="Calibri" w:hAnsi="Calibri" w:eastAsia="Calibri"/>
          <w:b w:val="0"/>
          <w:i w:val="0"/>
          <w:color w:val="111111"/>
          <w:sz w:val="22"/>
        </w:rPr>
      </w:r>
    </w:p>
    <w:p>
      <w:pPr>
        <w:pStyle w:val="Heading2"/>
        <w:keepNext/>
      </w:pPr>
      <w:r>
        <w:t>8.4 Gerçek Gömülü Emisyon Hesabı</w:t>
      </w:r>
    </w:p>
    <w:tbl>
      <w:tblPr>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9360"/>
      </w:tblGrid>
      <w:tr>
        <w:trPr>
          <w:cantSplit/>
        </w:trPr>
        <w:tc>
          <w:tcPr>
            <w:tcW w:type="dxa" w:w="9360"/>
            <w:shd w:fill="F7F8FA"/>
            <w:tcMar>
              <w:top w:w="130" w:type="dxa"/>
              <w:start w:w="180" w:type="dxa"/>
              <w:bottom w:w="130" w:type="dxa"/>
              <w:end w:w="180" w:type="dxa"/>
            </w:tcMar>
            <w:vAlign w:val="center"/>
          </w:tcPr>
          <w:p>
            <w:pPr>
              <w:spacing w:after="0" w:line="240" w:lineRule="auto"/>
            </w:pPr>
            <w:r/>
            <w:r>
              <w:rPr>
                <w:rFonts w:ascii="Consolas" w:hAnsi="Consolas" w:eastAsia="Consolas"/>
                <w:color w:val="1F2937"/>
                <w:sz w:val="16"/>
              </w:rPr>
              <w:t>function calculateActualSEE(process, functionalUnit):</w:t>
              <w:br/>
              <w:t xml:space="preserve">  direct = attributedDirectEmissions(process)</w:t>
              <w:br/>
              <w:t xml:space="preserve">  indirect = attributedElectricityEmissions(process)</w:t>
              <w:br/>
              <w:t xml:space="preserve">  precursorDirect = sum(p.quantity * p.SEE_direct for p in process.precursors)</w:t>
              <w:br/>
              <w:t xml:space="preserve">  precursorIndirect = sum(p.quantity * p.SEE_indirect for p in process.precursors)</w:t>
              <w:br/>
              <w:br/>
              <w:t xml:space="preserve">  SEE_direct = (direct + precursorDirect) / process.activityLevel(functionalUnit)</w:t>
              <w:br/>
              <w:t xml:space="preserve">  SEE_indirect = (indirect + precursorIndirect) / process.activityLevel(functionalUnit)</w:t>
              <w:br/>
              <w:br/>
              <w:t xml:space="preserve">  policy = sectorRule(process.sector).emissionScope</w:t>
              <w:br/>
              <w:t xml:space="preserve">  reportableSEE = SEE_direct + (SEE_indirect if policy.includesIndirect else 0)</w:t>
              <w:br/>
              <w:t xml:space="preserve">  return {SEE_direct, SEE_indirect, reportableSEE, calculationTrace}</w:t>
            </w:r>
          </w:p>
        </w:tc>
      </w:tr>
    </w:tbl>
    <w:p>
      <w:pPr>
        <w:keepNext w:val="0"/>
        <w:spacing w:before="0" w:after="40" w:line="300" w:lineRule="auto"/>
        <w:jc w:val="left"/>
      </w:pPr>
      <w:r>
        <w:rPr>
          <w:rFonts w:ascii="Calibri" w:hAnsi="Calibri" w:eastAsia="Calibri"/>
          <w:b w:val="0"/>
          <w:i w:val="0"/>
          <w:color w:val="111111"/>
          <w:sz w:val="22"/>
        </w:rPr>
      </w:r>
    </w:p>
    <w:p>
      <w:pPr>
        <w:keepNext w:val="0"/>
        <w:spacing w:before="0" w:after="120" w:line="300" w:lineRule="auto"/>
        <w:jc w:val="left"/>
      </w:pPr>
      <w:r>
        <w:rPr>
          <w:rFonts w:ascii="Calibri" w:hAnsi="Calibri" w:eastAsia="Calibri"/>
          <w:b w:val="0"/>
          <w:i/>
          <w:color w:val="1F4D78"/>
          <w:sz w:val="19"/>
        </w:rPr>
        <w:t>Not: Fonksiyonel birim sektör kuralından çözülür; varsayılan olarak aynı CN kodu altında üretilen ton miktarı, gübrelerde azot içeriği ve elektrikte MWh gibi özel birimler ayrıca yönetilir.</w:t>
      </w:r>
    </w:p>
    <w:p>
      <w:pPr>
        <w:pStyle w:val="Heading2"/>
        <w:keepNext/>
      </w:pPr>
      <w:r>
        <w:t>8.5 Varsayılan Değer Motoru</w:t>
      </w:r>
    </w:p>
    <w:tbl>
      <w:tblPr>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9360"/>
      </w:tblGrid>
      <w:tr>
        <w:trPr>
          <w:cantSplit/>
        </w:trPr>
        <w:tc>
          <w:tcPr>
            <w:tcW w:type="dxa" w:w="9360"/>
            <w:shd w:fill="F7F8FA"/>
            <w:tcMar>
              <w:top w:w="130" w:type="dxa"/>
              <w:start w:w="180" w:type="dxa"/>
              <w:bottom w:w="130" w:type="dxa"/>
              <w:end w:w="180" w:type="dxa"/>
            </w:tcMar>
            <w:vAlign w:val="center"/>
          </w:tcPr>
          <w:p>
            <w:pPr>
              <w:spacing w:after="0" w:line="240" w:lineRule="auto"/>
            </w:pPr>
            <w:r/>
            <w:r>
              <w:rPr>
                <w:rFonts w:ascii="Consolas" w:hAnsi="Consolas" w:eastAsia="Consolas"/>
                <w:color w:val="1F2937"/>
                <w:sz w:val="16"/>
              </w:rPr>
              <w:t>function resolveDefaultValue(context):</w:t>
              <w:br/>
              <w:t xml:space="preserve">  base = catalog.find(context.importYear, context.cn,</w:t>
              <w:br/>
              <w:t xml:space="preserve">                      context.productionCountry, context.productionRoute)</w:t>
              <w:br/>
              <w:t xml:space="preserve">  if base is null:</w:t>
              <w:br/>
              <w:t xml:space="preserve">      base = catalog.findOtherCountries(context.importYear, context.cn,</w:t>
              <w:br/>
              <w:t xml:space="preserve">                                        context.productionRoute)</w:t>
              <w:br/>
              <w:t xml:space="preserve">  markup = ruleset.defaultMarkup(context.sector, context.importYear)</w:t>
              <w:br/>
              <w:t xml:space="preserve">  value = base.value * (1 + markup)</w:t>
              <w:br/>
              <w:t xml:space="preserve">  return DEFAULT_VALUE(value, base.unit, base.version, markup,</w:t>
              <w:br/>
              <w:t xml:space="preserve">                       reason_codes=["DEFAULT_SELECTED", "MARKUP_APPLIED"])</w:t>
            </w:r>
          </w:p>
        </w:tc>
      </w:tr>
    </w:tbl>
    <w:p>
      <w:pPr>
        <w:keepNext w:val="0"/>
        <w:spacing w:before="0" w:after="40" w:line="300" w:lineRule="auto"/>
        <w:jc w:val="left"/>
      </w:pPr>
      <w:r>
        <w:rPr>
          <w:rFonts w:ascii="Calibri" w:hAnsi="Calibri" w:eastAsia="Calibri"/>
          <w:b w:val="0"/>
          <w:i w:val="0"/>
          <w:color w:val="111111"/>
          <w:sz w:val="22"/>
        </w:rPr>
      </w:r>
    </w:p>
    <w:p>
      <w:pPr>
        <w:pStyle w:val="Heading2"/>
        <w:keepNext/>
      </w:pPr>
      <w:r>
        <w:t>8.6 Sertifika Yükümlülüğü ve Maliyet</w:t>
      </w:r>
    </w:p>
    <w:tbl>
      <w:tblPr>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9360"/>
      </w:tblGrid>
      <w:tr>
        <w:trPr>
          <w:cantSplit/>
        </w:trPr>
        <w:tc>
          <w:tcPr>
            <w:tcW w:type="dxa" w:w="9360"/>
            <w:shd w:fill="F7F8FA"/>
            <w:tcMar>
              <w:top w:w="130" w:type="dxa"/>
              <w:start w:w="180" w:type="dxa"/>
              <w:bottom w:w="130" w:type="dxa"/>
              <w:end w:w="180" w:type="dxa"/>
            </w:tcMar>
            <w:vAlign w:val="center"/>
          </w:tcPr>
          <w:p>
            <w:pPr>
              <w:spacing w:after="0" w:line="240" w:lineRule="auto"/>
            </w:pPr>
            <w:r/>
            <w:r>
              <w:rPr>
                <w:rFonts w:ascii="Consolas" w:hAnsi="Consolas" w:eastAsia="Consolas"/>
                <w:color w:val="1F2937"/>
                <w:sz w:val="16"/>
              </w:rPr>
              <w:t>function calculateLiability(importLine, emissionResult, ruleContext):</w:t>
              <w:br/>
              <w:t xml:space="preserve">  quantityFU = convertToFunctionalUnit(importLine, ruleContext.functionalUnit)</w:t>
              <w:br/>
              <w:t xml:space="preserve">  grossEmbedded = quantityFU * emissionResult.reportableSEE</w:t>
              <w:br/>
              <w:t xml:space="preserve">  freeAllocation = quantityFU * freeAllocationEngine.specificAdjustment(ruleContext)</w:t>
              <w:br/>
              <w:t xml:space="preserve">  foreignCarbonEquivalent = carbonPriceAdapter.toCertificateEquivalent(</w:t>
              <w:br/>
              <w:t xml:space="preserve">      importLine, ruleContext  // versioned rule; final legal evidence required</w:t>
              <w:br/>
              <w:t xml:space="preserve">  )</w:t>
              <w:br/>
              <w:br/>
              <w:t xml:space="preserve">  certificates = max(0, grossEmbedded - freeAllocation - foreignCarbonEquivalent)</w:t>
              <w:br/>
              <w:t xml:space="preserve">  price = certificatePrice.resolve(importLine.acceptance_date)</w:t>
              <w:br/>
              <w:t xml:space="preserve">  estimatedCostEUR = certificates * price.eur</w:t>
              <w:br/>
              <w:t xml:space="preserve">  return {grossEmbedded, freeAllocation, foreignCarbonEquivalent,</w:t>
              <w:br/>
              <w:t xml:space="preserve">          certificates, price, estimatedCostEUR, trace}</w:t>
            </w:r>
          </w:p>
        </w:tc>
      </w:tr>
    </w:tbl>
    <w:p>
      <w:pPr>
        <w:keepNext w:val="0"/>
        <w:spacing w:before="0" w:after="40" w:line="300" w:lineRule="auto"/>
        <w:jc w:val="left"/>
      </w:pPr>
      <w:r>
        <w:rPr>
          <w:rFonts w:ascii="Calibri" w:hAnsi="Calibri" w:eastAsia="Calibri"/>
          <w:b w:val="0"/>
          <w:i w:val="0"/>
          <w:color w:val="111111"/>
          <w:sz w:val="22"/>
        </w:rPr>
      </w:r>
    </w:p>
    <w:p>
      <w:pPr>
        <w:pStyle w:val="Heading2"/>
        <w:keepNext/>
      </w:pPr>
      <w:r>
        <w:t>8.7 Beyan Hazırlık Kapısı</w:t>
      </w:r>
    </w:p>
    <w:tbl>
      <w:tblPr>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9360"/>
      </w:tblGrid>
      <w:tr>
        <w:trPr>
          <w:cantSplit/>
        </w:trPr>
        <w:tc>
          <w:tcPr>
            <w:tcW w:type="dxa" w:w="9360"/>
            <w:shd w:fill="F7F8FA"/>
            <w:tcMar>
              <w:top w:w="130" w:type="dxa"/>
              <w:start w:w="180" w:type="dxa"/>
              <w:bottom w:w="130" w:type="dxa"/>
              <w:end w:w="180" w:type="dxa"/>
            </w:tcMar>
            <w:vAlign w:val="center"/>
          </w:tcPr>
          <w:p>
            <w:pPr>
              <w:spacing w:after="0" w:line="240" w:lineRule="auto"/>
            </w:pPr>
            <w:r/>
            <w:r>
              <w:rPr>
                <w:rFonts w:ascii="Consolas" w:hAnsi="Consolas" w:eastAsia="Consolas"/>
                <w:color w:val="1F2937"/>
                <w:sz w:val="16"/>
              </w:rPr>
              <w:t>function checkDeclarationReadiness(declaration):</w:t>
              <w:br/>
              <w:t xml:space="preserve">  missing = requiredFields(declaration.year) - verifiedFields(declaration)</w:t>
              <w:br/>
              <w:t xml:space="preserve">  reconciliation = reconcileCustomsERPAndCalculation(declaration)</w:t>
              <w:br/>
              <w:t xml:space="preserve">  openFindings = verificationFindings(declaration, status != CLOSED)</w:t>
              <w:br/>
              <w:t xml:space="preserve">  openTasks = workflowTasks(declaration, status != CLOSED)</w:t>
              <w:br/>
              <w:t xml:space="preserve">  approvals = requiredApprovals(declaration) - completedApprovals(declaration)</w:t>
              <w:br/>
              <w:br/>
              <w:t xml:space="preserve">  if missing: return NEEDS_DATA(missing)</w:t>
              <w:br/>
              <w:t xml:space="preserve">  if reconciliation.hasBlockingDifference: return NEEDS_RECONCILIATION(reconciliation)</w:t>
              <w:br/>
              <w:t xml:space="preserve">  if openFindings or openTasks: return NEEDS_ACTION(openFindings, openTasks)</w:t>
              <w:br/>
              <w:t xml:space="preserve">  if approvals: return READY_FOR_APPROVAL(approvals)</w:t>
              <w:br/>
              <w:t xml:space="preserve">  return READY_TO_EXPORT(snapshotHash(declaration), rulesetVersion(declaration))</w:t>
            </w:r>
          </w:p>
        </w:tc>
      </w:tr>
    </w:tbl>
    <w:p>
      <w:pPr>
        <w:keepNext w:val="0"/>
        <w:spacing w:before="0" w:after="40" w:line="300" w:lineRule="auto"/>
        <w:jc w:val="left"/>
      </w:pPr>
      <w:r>
        <w:rPr>
          <w:rFonts w:ascii="Calibri" w:hAnsi="Calibri" w:eastAsia="Calibri"/>
          <w:b w:val="0"/>
          <w:i w:val="0"/>
          <w:color w:val="111111"/>
          <w:sz w:val="22"/>
        </w:rPr>
      </w:r>
    </w:p>
    <w:p>
      <w:pPr>
        <w:pStyle w:val="Heading2"/>
        <w:keepNext/>
      </w:pPr>
      <w:r>
        <w:t>8.8 Veri Kalitesi ve SLA Eskalasyonu</w:t>
      </w:r>
    </w:p>
    <w:tbl>
      <w:tblPr>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9360"/>
      </w:tblGrid>
      <w:tr>
        <w:trPr>
          <w:cantSplit/>
        </w:trPr>
        <w:tc>
          <w:tcPr>
            <w:tcW w:type="dxa" w:w="9360"/>
            <w:shd w:fill="F7F8FA"/>
            <w:tcMar>
              <w:top w:w="130" w:type="dxa"/>
              <w:start w:w="180" w:type="dxa"/>
              <w:bottom w:w="130" w:type="dxa"/>
              <w:end w:w="180" w:type="dxa"/>
            </w:tcMar>
            <w:vAlign w:val="center"/>
          </w:tcPr>
          <w:p>
            <w:pPr>
              <w:spacing w:after="0" w:line="240" w:lineRule="auto"/>
            </w:pPr>
            <w:r/>
            <w:r>
              <w:rPr>
                <w:rFonts w:ascii="Consolas" w:hAnsi="Consolas" w:eastAsia="Consolas"/>
                <w:color w:val="1F2937"/>
                <w:sz w:val="16"/>
              </w:rPr>
              <w:t>dailyJob:</w:t>
              <w:br/>
              <w:t xml:space="preserve">  for request in activeSupplierRequests:</w:t>
              <w:br/>
              <w:t xml:space="preserve">    if request.due_date - today in tenantPolicy.warning_days:</w:t>
              <w:br/>
              <w:t xml:space="preserve">      createOrUpdateReminder(request.owner, request.supplier)</w:t>
              <w:br/>
              <w:t xml:space="preserve">    if today &gt; request.due_date:</w:t>
              <w:br/>
              <w:t xml:space="preserve">      escalate(request, tenantPolicy.escalation_chain)</w:t>
              <w:br/>
              <w:br/>
              <w:t xml:space="preserve">  for declaration in activeDeclarations:</w:t>
              <w:br/>
              <w:t xml:space="preserve">    qualityScore = completeness + consistency + evidence + verification</w:t>
              <w:br/>
              <w:t xml:space="preserve">    publishDataQualitySnapshot(declaration.id, qualityScore, blockerCounts)</w:t>
            </w:r>
          </w:p>
        </w:tc>
      </w:tr>
    </w:tbl>
    <w:p>
      <w:pPr>
        <w:keepNext w:val="0"/>
        <w:spacing w:before="0" w:after="40" w:line="300" w:lineRule="auto"/>
        <w:jc w:val="left"/>
      </w:pPr>
      <w:r>
        <w:rPr>
          <w:rFonts w:ascii="Calibri" w:hAnsi="Calibri" w:eastAsia="Calibri"/>
          <w:b w:val="0"/>
          <w:i w:val="0"/>
          <w:color w:val="111111"/>
          <w:sz w:val="22"/>
        </w:rPr>
      </w:r>
    </w:p>
    <w:p>
      <w:pPr>
        <w:pStyle w:val="Heading1"/>
        <w:keepNext/>
      </w:pPr>
      <w:r>
        <w:t>9. Veri Modeli ve Veri Sözlüğü</w:t>
      </w:r>
    </w:p>
    <w:p>
      <w:pPr>
        <w:pStyle w:val="Heading2"/>
        <w:keepNext/>
      </w:pPr>
      <w:r>
        <w:t>9.1 Ana Varlıklar</w:t>
      </w:r>
    </w:p>
    <w:tbl>
      <w:tblPr>
        <w:tblStyle w:val="TableGrid"/>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2100"/>
        <w:gridCol w:w="2600"/>
        <w:gridCol w:w="4660"/>
      </w:tblGrid>
      <w:tr>
        <w:trPr>
          <w:tblHeader w:val="true"/>
        </w:trPr>
        <w:tc>
          <w:tcPr>
            <w:tcW w:type="dxa" w:w="21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5"/>
              </w:rPr>
              <w:t>Varlık</w:t>
            </w:r>
          </w:p>
        </w:tc>
        <w:tc>
          <w:tcPr>
            <w:tcW w:type="dxa" w:w="26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5"/>
              </w:rPr>
              <w:t>İşlev</w:t>
            </w:r>
          </w:p>
        </w:tc>
        <w:tc>
          <w:tcPr>
            <w:tcW w:type="dxa" w:w="466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5"/>
              </w:rPr>
              <w:t>Seçili alanlar</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tenant</w:t>
            </w:r>
          </w:p>
        </w:tc>
        <w:tc>
          <w:tcPr>
            <w:tcW w:type="dxa" w:w="2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Müşteri alanı</w:t>
            </w:r>
          </w:p>
        </w:tc>
        <w:tc>
          <w:tcPr>
            <w:tcW w:type="dxa" w:w="4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id, name, locale, policy_version, status</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legal_entity</w:t>
            </w:r>
          </w:p>
        </w:tc>
        <w:tc>
          <w:tcPr>
            <w:tcW w:type="dxa" w:w="2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Yasal kuruluş</w:t>
            </w:r>
          </w:p>
        </w:tc>
        <w:tc>
          <w:tcPr>
            <w:tcW w:type="dxa" w:w="4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tenant_id, legal_name, country, EORI, VAT</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declarant_account</w:t>
            </w:r>
          </w:p>
        </w:tc>
        <w:tc>
          <w:tcPr>
            <w:tcW w:type="dxa" w:w="2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Yetkili beyan sahibi hesabı</w:t>
            </w:r>
          </w:p>
        </w:tc>
        <w:tc>
          <w:tcPr>
            <w:tcW w:type="dxa" w:w="4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entity_id, CBAM_account_no, application_ref, status</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user_role</w:t>
            </w:r>
          </w:p>
        </w:tc>
        <w:tc>
          <w:tcPr>
            <w:tcW w:type="dxa" w:w="2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Kullanıcı yetkisi</w:t>
            </w:r>
          </w:p>
        </w:tc>
        <w:tc>
          <w:tcPr>
            <w:tcW w:type="dxa" w:w="4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user_id, role, scope_type, scope_id, valid_to</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product</w:t>
            </w:r>
          </w:p>
        </w:tc>
        <w:tc>
          <w:tcPr>
            <w:tcW w:type="dxa" w:w="2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Ürün ana verisi</w:t>
            </w:r>
          </w:p>
        </w:tc>
        <w:tc>
          <w:tcPr>
            <w:tcW w:type="dxa" w:w="4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product_code, description, cn_code, net_mass, unit</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cn_rule</w:t>
            </w:r>
          </w:p>
        </w:tc>
        <w:tc>
          <w:tcPr>
            <w:tcW w:type="dxa" w:w="2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CN kapsam kuralı</w:t>
            </w:r>
          </w:p>
        </w:tc>
        <w:tc>
          <w:tcPr>
            <w:tcW w:type="dxa" w:w="4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cn_from/to, sector, functional_unit, effective_dates</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supplier</w:t>
            </w:r>
          </w:p>
        </w:tc>
        <w:tc>
          <w:tcPr>
            <w:tcW w:type="dxa" w:w="2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Tedarikçi</w:t>
            </w:r>
          </w:p>
        </w:tc>
        <w:tc>
          <w:tcPr>
            <w:tcW w:type="dxa" w:w="4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name, country, registration_no, risk_owner</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operator</w:t>
            </w:r>
          </w:p>
        </w:tc>
        <w:tc>
          <w:tcPr>
            <w:tcW w:type="dxa" w:w="2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Üçüncü ülke operatörü</w:t>
            </w:r>
          </w:p>
        </w:tc>
        <w:tc>
          <w:tcPr>
            <w:tcW w:type="dxa" w:w="4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supplier_id, O3CI_id, legal_name, country</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installation</w:t>
            </w:r>
          </w:p>
        </w:tc>
        <w:tc>
          <w:tcPr>
            <w:tcW w:type="dxa" w:w="2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Üretim tesisi</w:t>
            </w:r>
          </w:p>
        </w:tc>
        <w:tc>
          <w:tcPr>
            <w:tcW w:type="dxa" w:w="4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operator_id, installation_id, address, country</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production_process</w:t>
            </w:r>
          </w:p>
        </w:tc>
        <w:tc>
          <w:tcPr>
            <w:tcW w:type="dxa" w:w="2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Üretim prosesi</w:t>
            </w:r>
          </w:p>
        </w:tc>
        <w:tc>
          <w:tcPr>
            <w:tcW w:type="dxa" w:w="4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installation_id, route, system_boundary, period</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customs_entry</w:t>
            </w:r>
          </w:p>
        </w:tc>
        <w:tc>
          <w:tcPr>
            <w:tcW w:type="dxa" w:w="2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Gümrük beyanı</w:t>
            </w:r>
          </w:p>
        </w:tc>
        <w:tc>
          <w:tcPr>
            <w:tcW w:type="dxa" w:w="4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MRN, acceptance_date, importer_EORI, procedure</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import_line</w:t>
            </w:r>
          </w:p>
        </w:tc>
        <w:tc>
          <w:tcPr>
            <w:tcW w:type="dxa" w:w="2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İthalat kalemi</w:t>
            </w:r>
          </w:p>
        </w:tc>
        <w:tc>
          <w:tcPr>
            <w:tcW w:type="dxa" w:w="4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entry_id, line_no, cn_code, origin, net_mass, quantity</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threshold_ledger</w:t>
            </w:r>
          </w:p>
        </w:tc>
        <w:tc>
          <w:tcPr>
            <w:tcW w:type="dxa" w:w="2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Yıllık eşik defteri</w:t>
            </w:r>
          </w:p>
        </w:tc>
        <w:tc>
          <w:tcPr>
            <w:tcW w:type="dxa" w:w="4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declarant_id, year, realised_t, projected_t, status</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supplier_request</w:t>
            </w:r>
          </w:p>
        </w:tc>
        <w:tc>
          <w:tcPr>
            <w:tcW w:type="dxa" w:w="2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Veri talebi</w:t>
            </w:r>
          </w:p>
        </w:tc>
        <w:tc>
          <w:tcPr>
            <w:tcW w:type="dxa" w:w="4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supplier_id, scope, due_date, SLA, status</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evidence</w:t>
            </w:r>
          </w:p>
        </w:tc>
        <w:tc>
          <w:tcPr>
            <w:tcW w:type="dxa" w:w="2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Kanıt dosyası</w:t>
            </w:r>
          </w:p>
        </w:tc>
        <w:tc>
          <w:tcPr>
            <w:tcW w:type="dxa" w:w="4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owner_type/id, file_hash, version, issued_at, expires_at</w:t>
            </w:r>
          </w:p>
        </w:tc>
      </w:tr>
    </w:tbl>
    <w:p>
      <w:pPr>
        <w:spacing w:after="40"/>
      </w:pPr>
    </w:p>
    <w:tbl>
      <w:tblPr>
        <w:tblStyle w:val="TableGrid"/>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2100"/>
        <w:gridCol w:w="2600"/>
        <w:gridCol w:w="4660"/>
      </w:tblGrid>
      <w:tr>
        <w:trPr>
          <w:tblHeader w:val="true"/>
        </w:trPr>
        <w:tc>
          <w:tcPr>
            <w:tcW w:type="dxa" w:w="21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5"/>
              </w:rPr>
              <w:t>Varlık</w:t>
            </w:r>
          </w:p>
        </w:tc>
        <w:tc>
          <w:tcPr>
            <w:tcW w:type="dxa" w:w="26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5"/>
              </w:rPr>
              <w:t>İşlev</w:t>
            </w:r>
          </w:p>
        </w:tc>
        <w:tc>
          <w:tcPr>
            <w:tcW w:type="dxa" w:w="466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5"/>
              </w:rPr>
              <w:t>Seçili alanlar</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monitoring_period</w:t>
            </w:r>
          </w:p>
        </w:tc>
        <w:tc>
          <w:tcPr>
            <w:tcW w:type="dxa" w:w="2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Emisyon referans dönemi</w:t>
            </w:r>
          </w:p>
        </w:tc>
        <w:tc>
          <w:tcPr>
            <w:tcW w:type="dxa" w:w="4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process_id, start/end, representativeness</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source_stream</w:t>
            </w:r>
          </w:p>
        </w:tc>
        <w:tc>
          <w:tcPr>
            <w:tcW w:type="dxa" w:w="2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Yakıt/malzeme akışı</w:t>
            </w:r>
          </w:p>
        </w:tc>
        <w:tc>
          <w:tcPr>
            <w:tcW w:type="dxa" w:w="4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type, amount, unit, factor, source</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electricity_use</w:t>
            </w:r>
          </w:p>
        </w:tc>
        <w:tc>
          <w:tcPr>
            <w:tcW w:type="dxa" w:w="2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Elektrik tüketimi</w:t>
            </w:r>
          </w:p>
        </w:tc>
        <w:tc>
          <w:tcPr>
            <w:tcW w:type="dxa" w:w="4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amount_MWh, factor, evidence</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precursor_usage</w:t>
            </w:r>
          </w:p>
        </w:tc>
        <w:tc>
          <w:tcPr>
            <w:tcW w:type="dxa" w:w="2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Öncül kullanımı</w:t>
            </w:r>
          </w:p>
        </w:tc>
        <w:tc>
          <w:tcPr>
            <w:tcW w:type="dxa" w:w="4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precursor_cn, source_installation, quantity, SEE</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activity_level</w:t>
            </w:r>
          </w:p>
        </w:tc>
        <w:tc>
          <w:tcPr>
            <w:tcW w:type="dxa" w:w="2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Fonksiyonel birim üretimi</w:t>
            </w:r>
          </w:p>
        </w:tc>
        <w:tc>
          <w:tcPr>
            <w:tcW w:type="dxa" w:w="4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process_id, quantity, functional_unit</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emission_report</w:t>
            </w:r>
          </w:p>
        </w:tc>
        <w:tc>
          <w:tcPr>
            <w:tcW w:type="dxa" w:w="2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Operatör emisyon raporu</w:t>
            </w:r>
          </w:p>
        </w:tc>
        <w:tc>
          <w:tcPr>
            <w:tcW w:type="dxa" w:w="4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process_id, period_id, method, SEE values</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default_value</w:t>
            </w:r>
          </w:p>
        </w:tc>
        <w:tc>
          <w:tcPr>
            <w:tcW w:type="dxa" w:w="2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Varsayılan değer</w:t>
            </w:r>
          </w:p>
        </w:tc>
        <w:tc>
          <w:tcPr>
            <w:tcW w:type="dxa" w:w="4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year, country, cn, route, value, markup, source_version</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verifier</w:t>
            </w:r>
          </w:p>
        </w:tc>
        <w:tc>
          <w:tcPr>
            <w:tcW w:type="dxa" w:w="2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Doğrulayıcı</w:t>
            </w:r>
          </w:p>
        </w:tc>
        <w:tc>
          <w:tcPr>
            <w:tcW w:type="dxa" w:w="4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name, accreditation_body, accreditation_no, scope</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verification_report</w:t>
            </w:r>
          </w:p>
        </w:tc>
        <w:tc>
          <w:tcPr>
            <w:tcW w:type="dxa" w:w="2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Doğrulama sonucu</w:t>
            </w:r>
          </w:p>
        </w:tc>
        <w:tc>
          <w:tcPr>
            <w:tcW w:type="dxa" w:w="4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installation_id, period, opinion, report_hash</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verification_finding</w:t>
            </w:r>
          </w:p>
        </w:tc>
        <w:tc>
          <w:tcPr>
            <w:tcW w:type="dxa" w:w="2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Doğrulama bulgusu</w:t>
            </w:r>
          </w:p>
        </w:tc>
        <w:tc>
          <w:tcPr>
            <w:tcW w:type="dxa" w:w="4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report_id, severity, action, due_date, status</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benchmark</w:t>
            </w:r>
          </w:p>
        </w:tc>
        <w:tc>
          <w:tcPr>
            <w:tcW w:type="dxa" w:w="2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Ücretsiz tahsis verisi</w:t>
            </w:r>
          </w:p>
        </w:tc>
        <w:tc>
          <w:tcPr>
            <w:tcW w:type="dxa" w:w="4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year, sector, route, column, value, version</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carbon_price_paid</w:t>
            </w:r>
          </w:p>
        </w:tc>
        <w:tc>
          <w:tcPr>
            <w:tcW w:type="dxa" w:w="2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Üçüncü ülke karbon bedeli</w:t>
            </w:r>
          </w:p>
        </w:tc>
        <w:tc>
          <w:tcPr>
            <w:tcW w:type="dxa" w:w="4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country, scheme, amount, currency, evidence</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certificate_price</w:t>
            </w:r>
          </w:p>
        </w:tc>
        <w:tc>
          <w:tcPr>
            <w:tcW w:type="dxa" w:w="2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CBAM sertifika fiyatı</w:t>
            </w:r>
          </w:p>
        </w:tc>
        <w:tc>
          <w:tcPr>
            <w:tcW w:type="dxa" w:w="4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period_type, period, EUR, published_at, source</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liability_snapshot</w:t>
            </w:r>
          </w:p>
        </w:tc>
        <w:tc>
          <w:tcPr>
            <w:tcW w:type="dxa" w:w="2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Yükümlülük sonucu</w:t>
            </w:r>
          </w:p>
        </w:tc>
        <w:tc>
          <w:tcPr>
            <w:tcW w:type="dxa" w:w="4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import_line_id, gross, free_adj, foreign_adj, certificates</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annual_declaration</w:t>
            </w:r>
          </w:p>
        </w:tc>
        <w:tc>
          <w:tcPr>
            <w:tcW w:type="dxa" w:w="2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Yıllık çalışma dosyası</w:t>
            </w:r>
          </w:p>
        </w:tc>
        <w:tc>
          <w:tcPr>
            <w:tcW w:type="dxa" w:w="4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declarant_id, year, status, totals, snapshot_hash</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calculation_run</w:t>
            </w:r>
          </w:p>
        </w:tc>
        <w:tc>
          <w:tcPr>
            <w:tcW w:type="dxa" w:w="2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Hesap izi</w:t>
            </w:r>
          </w:p>
        </w:tc>
        <w:tc>
          <w:tcPr>
            <w:tcW w:type="dxa" w:w="4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engine_version, ruleset, input_hash, output_hash, trace</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audit_event</w:t>
            </w:r>
          </w:p>
        </w:tc>
        <w:tc>
          <w:tcPr>
            <w:tcW w:type="dxa" w:w="26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Denetim olayı</w:t>
            </w:r>
          </w:p>
        </w:tc>
        <w:tc>
          <w:tcPr>
            <w:tcW w:type="dxa" w:w="46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tenant, actor, action, object, before/after_hash, timestamp</w:t>
            </w:r>
          </w:p>
        </w:tc>
      </w:tr>
    </w:tbl>
    <w:p>
      <w:pPr>
        <w:spacing w:after="40"/>
      </w:pPr>
    </w:p>
    <w:p>
      <w:pPr>
        <w:pStyle w:val="Heading2"/>
        <w:keepNext/>
      </w:pPr>
      <w:r>
        <w:t>9.2 İlişki ve Bütünlük Kuralları</w:t>
      </w:r>
    </w:p>
    <w:p>
      <w:pPr>
        <w:numPr>
          <w:ilvl w:val="0"/>
          <w:numId w:val="16"/>
        </w:numPr>
        <w:spacing w:after="80" w:line="300" w:lineRule="auto"/>
      </w:pPr>
      <w:r>
        <w:rPr>
          <w:rFonts w:ascii="Calibri" w:hAnsi="Calibri" w:eastAsia="Calibri"/>
          <w:color w:val="111111"/>
          <w:sz w:val="22"/>
        </w:rPr>
        <w:t>Her import_line tam olarak bir customs_entry ve legal_entity kaydına bağlıdır.</w:t>
      </w:r>
    </w:p>
    <w:p>
      <w:pPr>
        <w:numPr>
          <w:ilvl w:val="0"/>
          <w:numId w:val="16"/>
        </w:numPr>
        <w:spacing w:after="80" w:line="300" w:lineRule="auto"/>
      </w:pPr>
      <w:r>
        <w:rPr>
          <w:rFonts w:ascii="Calibri" w:hAnsi="Calibri" w:eastAsia="Calibri"/>
          <w:color w:val="111111"/>
          <w:sz w:val="22"/>
        </w:rPr>
        <w:t>Kapsamdaki satır bir cn_rule ve sektör kural sürümüyle eşleşmeden hesaplanamaz.</w:t>
      </w:r>
    </w:p>
    <w:p>
      <w:pPr>
        <w:numPr>
          <w:ilvl w:val="0"/>
          <w:numId w:val="16"/>
        </w:numPr>
        <w:spacing w:after="80" w:line="300" w:lineRule="auto"/>
      </w:pPr>
      <w:r>
        <w:rPr>
          <w:rFonts w:ascii="Calibri" w:hAnsi="Calibri" w:eastAsia="Calibri"/>
          <w:color w:val="111111"/>
          <w:sz w:val="22"/>
        </w:rPr>
        <w:t>Gerçek emisyon yöntemi installation + production_process + monitoring_period + verification_report zinciri gerektirir.</w:t>
      </w:r>
    </w:p>
    <w:p>
      <w:pPr>
        <w:numPr>
          <w:ilvl w:val="0"/>
          <w:numId w:val="16"/>
        </w:numPr>
        <w:spacing w:after="80" w:line="300" w:lineRule="auto"/>
      </w:pPr>
      <w:r>
        <w:rPr>
          <w:rFonts w:ascii="Calibri" w:hAnsi="Calibri" w:eastAsia="Calibri"/>
          <w:color w:val="111111"/>
          <w:sz w:val="22"/>
        </w:rPr>
        <w:t>Precursor_usage miktarı, fonksiyonel birim üretimi ve kaynak tesis/varsayılan değerle izlenir.</w:t>
      </w:r>
    </w:p>
    <w:p>
      <w:pPr>
        <w:numPr>
          <w:ilvl w:val="0"/>
          <w:numId w:val="16"/>
        </w:numPr>
        <w:spacing w:after="80" w:line="300" w:lineRule="auto"/>
      </w:pPr>
      <w:r>
        <w:rPr>
          <w:rFonts w:ascii="Calibri" w:hAnsi="Calibri" w:eastAsia="Calibri"/>
          <w:color w:val="111111"/>
          <w:sz w:val="22"/>
        </w:rPr>
        <w:t>Threshold_ledger, aynı beyan sahibi ve yıl için idempotent import olaylarıyla güncellenir.</w:t>
      </w:r>
    </w:p>
    <w:p>
      <w:pPr>
        <w:numPr>
          <w:ilvl w:val="0"/>
          <w:numId w:val="16"/>
        </w:numPr>
        <w:spacing w:after="80" w:line="300" w:lineRule="auto"/>
      </w:pPr>
      <w:r>
        <w:rPr>
          <w:rFonts w:ascii="Calibri" w:hAnsi="Calibri" w:eastAsia="Calibri"/>
          <w:color w:val="111111"/>
          <w:sz w:val="22"/>
        </w:rPr>
        <w:t>Liability_snapshot yalnız onaylı calculation_run ve fiyat/benchmark sürümleriyle yayımlanır.</w:t>
      </w:r>
    </w:p>
    <w:p>
      <w:pPr>
        <w:numPr>
          <w:ilvl w:val="0"/>
          <w:numId w:val="16"/>
        </w:numPr>
        <w:spacing w:after="80" w:line="300" w:lineRule="auto"/>
      </w:pPr>
      <w:r>
        <w:rPr>
          <w:rFonts w:ascii="Calibri" w:hAnsi="Calibri" w:eastAsia="Calibri"/>
          <w:color w:val="111111"/>
          <w:sz w:val="22"/>
        </w:rPr>
        <w:t>Annual_declaration dışa aktarımı, içerdiği tüm satır ve kanıt hash’lerini manifest dosyasına yazar.</w:t>
      </w:r>
    </w:p>
    <w:p>
      <w:pPr>
        <w:pStyle w:val="Heading2"/>
        <w:keepNext/>
      </w:pPr>
      <w:r>
        <w:t>9.3 Zorunlu Alan Standartları</w:t>
      </w:r>
    </w:p>
    <w:tbl>
      <w:tblPr>
        <w:tblStyle w:val="TableGrid"/>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2200"/>
        <w:gridCol w:w="2100"/>
        <w:gridCol w:w="5060"/>
      </w:tblGrid>
      <w:tr>
        <w:trPr>
          <w:tblHeader w:val="true"/>
        </w:trPr>
        <w:tc>
          <w:tcPr>
            <w:tcW w:type="dxa" w:w="22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Alan</w:t>
            </w:r>
          </w:p>
        </w:tc>
        <w:tc>
          <w:tcPr>
            <w:tcW w:type="dxa" w:w="21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Tip</w:t>
            </w:r>
          </w:p>
        </w:tc>
        <w:tc>
          <w:tcPr>
            <w:tcW w:type="dxa" w:w="506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Kural</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id</w:t>
            </w:r>
          </w:p>
        </w:tc>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ULID/UUID</w:t>
            </w:r>
          </w:p>
        </w:tc>
        <w:tc>
          <w:tcPr>
            <w:tcW w:type="dxa" w:w="5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Tenant içinde benzersiz ve değişmez</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tenant_id</w:t>
            </w:r>
          </w:p>
        </w:tc>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ULID/UUID</w:t>
            </w:r>
          </w:p>
        </w:tc>
        <w:tc>
          <w:tcPr>
            <w:tcW w:type="dxa" w:w="5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Tüm iş tablolarında zorunlu</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decimal_value</w:t>
            </w:r>
          </w:p>
        </w:tc>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DECIMAL(24,9)</w:t>
            </w:r>
          </w:p>
        </w:tc>
        <w:tc>
          <w:tcPr>
            <w:tcW w:type="dxa" w:w="5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Miktar, emisyon, oran ve para için</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currency</w:t>
            </w:r>
          </w:p>
        </w:tc>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ISO 4217</w:t>
            </w:r>
          </w:p>
        </w:tc>
        <w:tc>
          <w:tcPr>
            <w:tcW w:type="dxa" w:w="5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EUR ve kanıtlanan yabancı para kodu</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country_code</w:t>
            </w:r>
          </w:p>
        </w:tc>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ISO 3166-1 alpha-2</w:t>
            </w:r>
          </w:p>
        </w:tc>
        <w:tc>
          <w:tcPr>
            <w:tcW w:type="dxa" w:w="5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Menşe ve üretim ülkesi ayrı alanlar</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cn_code</w:t>
            </w:r>
          </w:p>
        </w:tc>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String</w:t>
            </w:r>
          </w:p>
        </w:tc>
        <w:tc>
          <w:tcPr>
            <w:tcW w:type="dxa" w:w="5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Normalize 8 hane; tarihli kural eşlemesi</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unit_code</w:t>
            </w:r>
          </w:p>
        </w:tc>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Coded enum</w:t>
            </w:r>
          </w:p>
        </w:tc>
        <w:tc>
          <w:tcPr>
            <w:tcW w:type="dxa" w:w="5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t, kg, kgN, MWh ve kural kataloğu birimleri</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effective_from/to</w:t>
            </w:r>
          </w:p>
        </w:tc>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Date</w:t>
            </w:r>
          </w:p>
        </w:tc>
        <w:tc>
          <w:tcPr>
            <w:tcW w:type="dxa" w:w="5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Kural, değer, benchmark ve fiyat yürürlüğü</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status</w:t>
            </w:r>
          </w:p>
        </w:tc>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Enum</w:t>
            </w:r>
          </w:p>
        </w:tc>
        <w:tc>
          <w:tcPr>
            <w:tcW w:type="dxa" w:w="5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Domain state machine dışına çıkamaz</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file_hash</w:t>
            </w:r>
          </w:p>
        </w:tc>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SHA-256</w:t>
            </w:r>
          </w:p>
        </w:tc>
        <w:tc>
          <w:tcPr>
            <w:tcW w:type="dxa" w:w="5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Dosya bütünlüğü ve deduplication</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ruleset_version</w:t>
            </w:r>
          </w:p>
        </w:tc>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String</w:t>
            </w:r>
          </w:p>
        </w:tc>
        <w:tc>
          <w:tcPr>
            <w:tcW w:type="dxa" w:w="5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Her karar ve hesapta zorunlu</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reason_codes</w:t>
            </w:r>
          </w:p>
        </w:tc>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Array</w:t>
            </w:r>
          </w:p>
        </w:tc>
        <w:tc>
          <w:tcPr>
            <w:tcW w:type="dxa" w:w="5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Açıklanabilir karar kodları</w:t>
            </w:r>
          </w:p>
        </w:tc>
      </w:tr>
    </w:tbl>
    <w:p>
      <w:pPr>
        <w:spacing w:after="40"/>
      </w:pPr>
    </w:p>
    <w:p>
      <w:pPr>
        <w:pStyle w:val="Heading2"/>
        <w:keepNext/>
      </w:pPr>
      <w:r>
        <w:t>9.4 Veri Aktarım Çekirdek Alanları</w:t>
      </w:r>
    </w:p>
    <w:tbl>
      <w:tblPr>
        <w:tblStyle w:val="TableGrid"/>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1500"/>
        <w:gridCol w:w="5360"/>
        <w:gridCol w:w="2500"/>
      </w:tblGrid>
      <w:tr>
        <w:trPr>
          <w:tblHeader w:val="true"/>
        </w:trPr>
        <w:tc>
          <w:tcPr>
            <w:tcW w:type="dxa" w:w="15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Grup</w:t>
            </w:r>
          </w:p>
        </w:tc>
        <w:tc>
          <w:tcPr>
            <w:tcW w:type="dxa" w:w="536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Alanlar</w:t>
            </w:r>
          </w:p>
        </w:tc>
        <w:tc>
          <w:tcPr>
            <w:tcW w:type="dxa" w:w="25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Zorunluluk</w:t>
            </w:r>
          </w:p>
        </w:tc>
      </w:tr>
      <w:tr>
        <w:tc>
          <w:tcPr>
            <w:tcW w:type="dxa" w:w="1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Beyan</w:t>
            </w:r>
          </w:p>
        </w:tc>
        <w:tc>
          <w:tcPr>
            <w:tcW w:type="dxa" w:w="53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MRN, acceptance_date, line_no, importer_EORI, procedure</w:t>
            </w:r>
          </w:p>
        </w:tc>
        <w:tc>
          <w:tcPr>
            <w:tcW w:type="dxa" w:w="2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Her ithalat satırı</w:t>
            </w:r>
          </w:p>
        </w:tc>
      </w:tr>
      <w:tr>
        <w:tc>
          <w:tcPr>
            <w:tcW w:type="dxa" w:w="1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Ürün</w:t>
            </w:r>
          </w:p>
        </w:tc>
        <w:tc>
          <w:tcPr>
            <w:tcW w:type="dxa" w:w="53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product_code, cn_code, description, net_mass, supplementary_unit</w:t>
            </w:r>
          </w:p>
        </w:tc>
        <w:tc>
          <w:tcPr>
            <w:tcW w:type="dxa" w:w="2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Kapsam ve eşik</w:t>
            </w:r>
          </w:p>
        </w:tc>
      </w:tr>
      <w:tr>
        <w:tc>
          <w:tcPr>
            <w:tcW w:type="dxa" w:w="1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Ticaret</w:t>
            </w:r>
          </w:p>
        </w:tc>
        <w:tc>
          <w:tcPr>
            <w:tcW w:type="dxa" w:w="53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origin_country, production_country, supplier, invoice, incoterm</w:t>
            </w:r>
          </w:p>
        </w:tc>
        <w:tc>
          <w:tcPr>
            <w:tcW w:type="dxa" w:w="2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Menşe ve izlenebilirlik</w:t>
            </w:r>
          </w:p>
        </w:tc>
      </w:tr>
      <w:tr>
        <w:tc>
          <w:tcPr>
            <w:tcW w:type="dxa" w:w="1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Tesis</w:t>
            </w:r>
          </w:p>
        </w:tc>
        <w:tc>
          <w:tcPr>
            <w:tcW w:type="dxa" w:w="53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operator, installation, production_route, monitoring_period</w:t>
            </w:r>
          </w:p>
        </w:tc>
        <w:tc>
          <w:tcPr>
            <w:tcW w:type="dxa" w:w="2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Gerçek emisyon</w:t>
            </w:r>
          </w:p>
        </w:tc>
      </w:tr>
      <w:tr>
        <w:tc>
          <w:tcPr>
            <w:tcW w:type="dxa" w:w="1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Emisyon</w:t>
            </w:r>
          </w:p>
        </w:tc>
        <w:tc>
          <w:tcPr>
            <w:tcW w:type="dxa" w:w="53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method, direct_SEE, indirect_SEE, precursor_SEE, functional_unit</w:t>
            </w:r>
          </w:p>
        </w:tc>
        <w:tc>
          <w:tcPr>
            <w:tcW w:type="dxa" w:w="2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Hesap</w:t>
            </w:r>
          </w:p>
        </w:tc>
      </w:tr>
      <w:tr>
        <w:tc>
          <w:tcPr>
            <w:tcW w:type="dxa" w:w="1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Doğrulama</w:t>
            </w:r>
          </w:p>
        </w:tc>
        <w:tc>
          <w:tcPr>
            <w:tcW w:type="dxa" w:w="53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verifier, accreditation, opinion, report_hash, valid_period</w:t>
            </w:r>
          </w:p>
        </w:tc>
        <w:tc>
          <w:tcPr>
            <w:tcW w:type="dxa" w:w="2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Gerçek veri</w:t>
            </w:r>
          </w:p>
        </w:tc>
      </w:tr>
      <w:tr>
        <w:tc>
          <w:tcPr>
            <w:tcW w:type="dxa" w:w="1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Mali</w:t>
            </w:r>
          </w:p>
        </w:tc>
        <w:tc>
          <w:tcPr>
            <w:tcW w:type="dxa" w:w="53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benchmark_version, carbon_price_paid, cert_price_period</w:t>
            </w:r>
          </w:p>
        </w:tc>
        <w:tc>
          <w:tcPr>
            <w:tcW w:type="dxa" w:w="2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Yükümlülük</w:t>
            </w:r>
          </w:p>
        </w:tc>
      </w:tr>
      <w:tr>
        <w:tc>
          <w:tcPr>
            <w:tcW w:type="dxa" w:w="1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Kanıt</w:t>
            </w:r>
          </w:p>
        </w:tc>
        <w:tc>
          <w:tcPr>
            <w:tcW w:type="dxa" w:w="53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document_type, file_hash, issue/expiry date, owner</w:t>
            </w:r>
          </w:p>
        </w:tc>
        <w:tc>
          <w:tcPr>
            <w:tcW w:type="dxa" w:w="2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Denetim</w:t>
            </w:r>
          </w:p>
        </w:tc>
      </w:tr>
    </w:tbl>
    <w:p>
      <w:pPr>
        <w:spacing w:after="40"/>
      </w:pPr>
    </w:p>
    <w:p>
      <w:pPr>
        <w:pStyle w:val="Heading1"/>
        <w:keepNext/>
      </w:pPr>
      <w:r>
        <w:t>10. API ve Entegrasyon Tasarımı</w:t>
      </w:r>
    </w:p>
    <w:p>
      <w:pPr>
        <w:pStyle w:val="Heading2"/>
        <w:keepNext/>
      </w:pPr>
      <w:r>
        <w:t>10.1 API İlkeleri</w:t>
      </w:r>
    </w:p>
    <w:p>
      <w:pPr>
        <w:numPr>
          <w:ilvl w:val="0"/>
          <w:numId w:val="17"/>
        </w:numPr>
        <w:spacing w:after="80" w:line="300" w:lineRule="auto"/>
      </w:pPr>
      <w:r>
        <w:rPr>
          <w:rFonts w:ascii="Calibri" w:hAnsi="Calibri" w:eastAsia="Calibri"/>
          <w:color w:val="111111"/>
          <w:sz w:val="22"/>
        </w:rPr>
        <w:t>Base path /api/v1; breaking change yalnız yeni ana sürümde.</w:t>
      </w:r>
    </w:p>
    <w:p>
      <w:pPr>
        <w:numPr>
          <w:ilvl w:val="0"/>
          <w:numId w:val="17"/>
        </w:numPr>
        <w:spacing w:after="80" w:line="300" w:lineRule="auto"/>
      </w:pPr>
      <w:r>
        <w:rPr>
          <w:rFonts w:ascii="Calibri" w:hAnsi="Calibri" w:eastAsia="Calibri"/>
          <w:color w:val="111111"/>
          <w:sz w:val="22"/>
        </w:rPr>
        <w:t>OAuth 2.1/OIDC; tenant, entity ve rol claim’leriyle kapsam kontrolü.</w:t>
      </w:r>
    </w:p>
    <w:p>
      <w:pPr>
        <w:numPr>
          <w:ilvl w:val="0"/>
          <w:numId w:val="17"/>
        </w:numPr>
        <w:spacing w:after="80" w:line="300" w:lineRule="auto"/>
      </w:pPr>
      <w:r>
        <w:rPr>
          <w:rFonts w:ascii="Calibri" w:hAnsi="Calibri" w:eastAsia="Calibri"/>
          <w:color w:val="111111"/>
          <w:sz w:val="22"/>
        </w:rPr>
        <w:t>POST/PUT işlemlerinde idempotency-key; async importlarda job_id ve retry policy.</w:t>
      </w:r>
    </w:p>
    <w:p>
      <w:pPr>
        <w:numPr>
          <w:ilvl w:val="0"/>
          <w:numId w:val="17"/>
        </w:numPr>
        <w:spacing w:after="80" w:line="300" w:lineRule="auto"/>
      </w:pPr>
      <w:r>
        <w:rPr>
          <w:rFonts w:ascii="Calibri" w:hAnsi="Calibri" w:eastAsia="Calibri"/>
          <w:color w:val="111111"/>
          <w:sz w:val="22"/>
        </w:rPr>
        <w:t>Tarih ISO-8601, para ISO 4217, miktar Decimal string, saat UTC ve kaynak timezone alanı.</w:t>
      </w:r>
    </w:p>
    <w:p>
      <w:pPr>
        <w:numPr>
          <w:ilvl w:val="0"/>
          <w:numId w:val="17"/>
        </w:numPr>
        <w:spacing w:after="80" w:line="300" w:lineRule="auto"/>
      </w:pPr>
      <w:r>
        <w:rPr>
          <w:rFonts w:ascii="Calibri" w:hAnsi="Calibri" w:eastAsia="Calibri"/>
          <w:color w:val="111111"/>
          <w:sz w:val="22"/>
        </w:rPr>
        <w:t>Her cevap correlation_id, ruleset_version ve açıklanabilir reason_codes taşır.</w:t>
      </w:r>
    </w:p>
    <w:p>
      <w:pPr>
        <w:numPr>
          <w:ilvl w:val="0"/>
          <w:numId w:val="17"/>
        </w:numPr>
        <w:spacing w:after="80" w:line="300" w:lineRule="auto"/>
      </w:pPr>
      <w:r>
        <w:rPr>
          <w:rFonts w:ascii="Calibri" w:hAnsi="Calibri" w:eastAsia="Calibri"/>
          <w:color w:val="111111"/>
          <w:sz w:val="22"/>
        </w:rPr>
        <w:t>Bulk uçlar staging, validasyon, hata satırı ve kısmi kabul politikası sağlar.</w:t>
      </w:r>
    </w:p>
    <w:p>
      <w:pPr>
        <w:pStyle w:val="Heading2"/>
        <w:keepNext/>
      </w:pPr>
      <w:r>
        <w:t>10.2 Önerilen REST Uçları</w:t>
      </w:r>
    </w:p>
    <w:tbl>
      <w:tblPr>
        <w:tblStyle w:val="TableGrid"/>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1050"/>
        <w:gridCol w:w="4300"/>
        <w:gridCol w:w="4010"/>
      </w:tblGrid>
      <w:tr>
        <w:trPr>
          <w:tblHeader w:val="true"/>
        </w:trPr>
        <w:tc>
          <w:tcPr>
            <w:tcW w:type="dxa" w:w="105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Metot</w:t>
            </w:r>
          </w:p>
        </w:tc>
        <w:tc>
          <w:tcPr>
            <w:tcW w:type="dxa" w:w="43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Endpoint</w:t>
            </w:r>
          </w:p>
        </w:tc>
        <w:tc>
          <w:tcPr>
            <w:tcW w:type="dxa" w:w="401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Amaç</w:t>
            </w:r>
          </w:p>
        </w:tc>
      </w:tr>
      <w:tr>
        <w:tc>
          <w:tcPr>
            <w:tcW w:type="dxa" w:w="105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POST</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/imports</w:t>
            </w:r>
          </w:p>
        </w:tc>
        <w:tc>
          <w:tcPr>
            <w:tcW w:type="dxa" w:w="40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İthalat batch’i yükle</w:t>
            </w:r>
          </w:p>
        </w:tc>
      </w:tr>
      <w:tr>
        <w:tc>
          <w:tcPr>
            <w:tcW w:type="dxa" w:w="105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GET</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/imports/{id}</w:t>
            </w:r>
          </w:p>
        </w:tc>
        <w:tc>
          <w:tcPr>
            <w:tcW w:type="dxa" w:w="40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Batch/hata durumunu getir</w:t>
            </w:r>
          </w:p>
        </w:tc>
      </w:tr>
      <w:tr>
        <w:tc>
          <w:tcPr>
            <w:tcW w:type="dxa" w:w="105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POST</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/scope-evaluations</w:t>
            </w:r>
          </w:p>
        </w:tc>
        <w:tc>
          <w:tcPr>
            <w:tcW w:type="dxa" w:w="40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Kapsam kararı çalıştır</w:t>
            </w:r>
          </w:p>
        </w:tc>
      </w:tr>
      <w:tr>
        <w:tc>
          <w:tcPr>
            <w:tcW w:type="dxa" w:w="105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GET</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/threshold-ledgers/{year}</w:t>
            </w:r>
          </w:p>
        </w:tc>
        <w:tc>
          <w:tcPr>
            <w:tcW w:type="dxa" w:w="40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Yıllık eşik durumunu getir</w:t>
            </w:r>
          </w:p>
        </w:tc>
      </w:tr>
      <w:tr>
        <w:tc>
          <w:tcPr>
            <w:tcW w:type="dxa" w:w="105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POST</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/supplier-requests</w:t>
            </w:r>
          </w:p>
        </w:tc>
        <w:tc>
          <w:tcPr>
            <w:tcW w:type="dxa" w:w="40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Tedarikçi talep paketi oluştur</w:t>
            </w:r>
          </w:p>
        </w:tc>
      </w:tr>
      <w:tr>
        <w:tc>
          <w:tcPr>
            <w:tcW w:type="dxa" w:w="105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POST</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/operators</w:t>
            </w:r>
          </w:p>
        </w:tc>
        <w:tc>
          <w:tcPr>
            <w:tcW w:type="dxa" w:w="40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Operatör ve tesis kaydı</w:t>
            </w:r>
          </w:p>
        </w:tc>
      </w:tr>
      <w:tr>
        <w:tc>
          <w:tcPr>
            <w:tcW w:type="dxa" w:w="105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POST</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/emission-reports</w:t>
            </w:r>
          </w:p>
        </w:tc>
        <w:tc>
          <w:tcPr>
            <w:tcW w:type="dxa" w:w="40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Emisyon veri paketi yükle</w:t>
            </w:r>
          </w:p>
        </w:tc>
      </w:tr>
      <w:tr>
        <w:tc>
          <w:tcPr>
            <w:tcW w:type="dxa" w:w="105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POST</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/emission-calculations</w:t>
            </w:r>
          </w:p>
        </w:tc>
        <w:tc>
          <w:tcPr>
            <w:tcW w:type="dxa" w:w="40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Gerçek/default hesabı çalıştır</w:t>
            </w:r>
          </w:p>
        </w:tc>
      </w:tr>
      <w:tr>
        <w:tc>
          <w:tcPr>
            <w:tcW w:type="dxa" w:w="105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POST</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/verification-reports</w:t>
            </w:r>
          </w:p>
        </w:tc>
        <w:tc>
          <w:tcPr>
            <w:tcW w:type="dxa" w:w="40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Doğrulama raporu kaydet</w:t>
            </w:r>
          </w:p>
        </w:tc>
      </w:tr>
      <w:tr>
        <w:tc>
          <w:tcPr>
            <w:tcW w:type="dxa" w:w="105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POST</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/liability-calculations</w:t>
            </w:r>
          </w:p>
        </w:tc>
        <w:tc>
          <w:tcPr>
            <w:tcW w:type="dxa" w:w="40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Sertifika/maliyet hesabı</w:t>
            </w:r>
          </w:p>
        </w:tc>
      </w:tr>
      <w:tr>
        <w:tc>
          <w:tcPr>
            <w:tcW w:type="dxa" w:w="105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GET</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/certificate-prices</w:t>
            </w:r>
          </w:p>
        </w:tc>
        <w:tc>
          <w:tcPr>
            <w:tcW w:type="dxa" w:w="40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Dönemsel fiyatları getir</w:t>
            </w:r>
          </w:p>
        </w:tc>
      </w:tr>
      <w:tr>
        <w:tc>
          <w:tcPr>
            <w:tcW w:type="dxa" w:w="105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POST</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/annual-declarations</w:t>
            </w:r>
          </w:p>
        </w:tc>
        <w:tc>
          <w:tcPr>
            <w:tcW w:type="dxa" w:w="40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Yıllık çalışma dosyası oluştur</w:t>
            </w:r>
          </w:p>
        </w:tc>
      </w:tr>
      <w:tr>
        <w:tc>
          <w:tcPr>
            <w:tcW w:type="dxa" w:w="105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POST</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/annual-declarations/{id}/validate</w:t>
            </w:r>
          </w:p>
        </w:tc>
        <w:tc>
          <w:tcPr>
            <w:tcW w:type="dxa" w:w="40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Readiness ve mutabakat</w:t>
            </w:r>
          </w:p>
        </w:tc>
      </w:tr>
      <w:tr>
        <w:tc>
          <w:tcPr>
            <w:tcW w:type="dxa" w:w="105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POST</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/annual-declarations/{id}/approve</w:t>
            </w:r>
          </w:p>
        </w:tc>
        <w:tc>
          <w:tcPr>
            <w:tcW w:type="dxa" w:w="40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Yetkili onay</w:t>
            </w:r>
          </w:p>
        </w:tc>
      </w:tr>
      <w:tr>
        <w:tc>
          <w:tcPr>
            <w:tcW w:type="dxa" w:w="105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POST</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/annual-declarations/{id}/exports</w:t>
            </w:r>
          </w:p>
        </w:tc>
        <w:tc>
          <w:tcPr>
            <w:tcW w:type="dxa" w:w="40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Dışa aktarım paketi</w:t>
            </w:r>
          </w:p>
        </w:tc>
      </w:tr>
      <w:tr>
        <w:tc>
          <w:tcPr>
            <w:tcW w:type="dxa" w:w="105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GET</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/audit-events</w:t>
            </w:r>
          </w:p>
        </w:tc>
        <w:tc>
          <w:tcPr>
            <w:tcW w:type="dxa" w:w="40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Denetim olaylarını sorgula</w:t>
            </w:r>
          </w:p>
        </w:tc>
      </w:tr>
      <w:tr>
        <w:tc>
          <w:tcPr>
            <w:tcW w:type="dxa" w:w="105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GET</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/reports/exposure</w:t>
            </w:r>
          </w:p>
        </w:tc>
        <w:tc>
          <w:tcPr>
            <w:tcW w:type="dxa" w:w="401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Kapsam/emisyon/maliyet raporu</w:t>
            </w:r>
          </w:p>
        </w:tc>
      </w:tr>
    </w:tbl>
    <w:p>
      <w:pPr>
        <w:spacing w:after="40"/>
      </w:pPr>
    </w:p>
    <w:p>
      <w:pPr>
        <w:pStyle w:val="Heading2"/>
        <w:keepNext/>
      </w:pPr>
      <w:r>
        <w:t>10.3 Entegrasyon Sınırları</w:t>
      </w:r>
    </w:p>
    <w:tbl>
      <w:tblPr>
        <w:tblStyle w:val="TableGrid"/>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1800"/>
        <w:gridCol w:w="3800"/>
        <w:gridCol w:w="3760"/>
      </w:tblGrid>
      <w:tr>
        <w:trPr>
          <w:tblHeader w:val="true"/>
        </w:trPr>
        <w:tc>
          <w:tcPr>
            <w:tcW w:type="dxa" w:w="18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Adaptör</w:t>
            </w:r>
          </w:p>
        </w:tc>
        <w:tc>
          <w:tcPr>
            <w:tcW w:type="dxa" w:w="38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MVP</w:t>
            </w:r>
          </w:p>
        </w:tc>
        <w:tc>
          <w:tcPr>
            <w:tcW w:type="dxa" w:w="376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Sonraki faz</w:t>
            </w:r>
          </w:p>
        </w:tc>
      </w:tr>
      <w:tr>
        <w:tc>
          <w:tcPr>
            <w:tcW w:type="dxa" w:w="1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ERP</w:t>
            </w:r>
          </w:p>
        </w:tc>
        <w:tc>
          <w:tcPr>
            <w:tcW w:type="dxa" w:w="3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Kanonik Excel/CSV ve manuel export</w:t>
            </w:r>
          </w:p>
        </w:tc>
        <w:tc>
          <w:tcPr>
            <w:tcW w:type="dxa" w:w="37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SAP/Oracle/API connector</w:t>
            </w:r>
          </w:p>
        </w:tc>
      </w:tr>
      <w:tr>
        <w:tc>
          <w:tcPr>
            <w:tcW w:type="dxa" w:w="1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Gümrük</w:t>
            </w:r>
          </w:p>
        </w:tc>
        <w:tc>
          <w:tcPr>
            <w:tcW w:type="dxa" w:w="3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Beyanname dosyası ve MRN eşleme</w:t>
            </w:r>
          </w:p>
        </w:tc>
        <w:tc>
          <w:tcPr>
            <w:tcW w:type="dxa" w:w="37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Broker/customs API</w:t>
            </w:r>
          </w:p>
        </w:tc>
      </w:tr>
      <w:tr>
        <w:tc>
          <w:tcPr>
            <w:tcW w:type="dxa" w:w="1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Tedarikçi</w:t>
            </w:r>
          </w:p>
        </w:tc>
        <w:tc>
          <w:tcPr>
            <w:tcW w:type="dxa" w:w="3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Portal, e-posta linki ve Excel şablonu</w:t>
            </w:r>
          </w:p>
        </w:tc>
        <w:tc>
          <w:tcPr>
            <w:tcW w:type="dxa" w:w="37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O3CI veri paylaşım bağlantısı</w:t>
            </w:r>
          </w:p>
        </w:tc>
      </w:tr>
      <w:tr>
        <w:tc>
          <w:tcPr>
            <w:tcW w:type="dxa" w:w="1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CBAM Sicili</w:t>
            </w:r>
          </w:p>
        </w:tc>
        <w:tc>
          <w:tcPr>
            <w:tcW w:type="dxa" w:w="3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Çalışma dosyası, kontrollü dışa aktarım, manuel teyit</w:t>
            </w:r>
          </w:p>
        </w:tc>
        <w:tc>
          <w:tcPr>
            <w:tcW w:type="dxa" w:w="37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Resmî teknik arayüz adaptörü</w:t>
            </w:r>
          </w:p>
        </w:tc>
      </w:tr>
      <w:tr>
        <w:tc>
          <w:tcPr>
            <w:tcW w:type="dxa" w:w="1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Fiyat</w:t>
            </w:r>
          </w:p>
        </w:tc>
        <w:tc>
          <w:tcPr>
            <w:tcW w:type="dxa" w:w="3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Onaylı resmî fiyat importu ve kaynak URL</w:t>
            </w:r>
          </w:p>
        </w:tc>
        <w:tc>
          <w:tcPr>
            <w:tcW w:type="dxa" w:w="37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Zamanlanmış veri çekme</w:t>
            </w:r>
          </w:p>
        </w:tc>
      </w:tr>
      <w:tr>
        <w:tc>
          <w:tcPr>
            <w:tcW w:type="dxa" w:w="1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Kimlik</w:t>
            </w:r>
          </w:p>
        </w:tc>
        <w:tc>
          <w:tcPr>
            <w:tcW w:type="dxa" w:w="3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OIDC sağlayıcısı</w:t>
            </w:r>
          </w:p>
        </w:tc>
        <w:tc>
          <w:tcPr>
            <w:tcW w:type="dxa" w:w="37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SCIM/provisioning</w:t>
            </w:r>
          </w:p>
        </w:tc>
      </w:tr>
      <w:tr>
        <w:tc>
          <w:tcPr>
            <w:tcW w:type="dxa" w:w="1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Belge</w:t>
            </w:r>
          </w:p>
        </w:tc>
        <w:tc>
          <w:tcPr>
            <w:tcW w:type="dxa" w:w="3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Object storage ve malware scan</w:t>
            </w:r>
          </w:p>
        </w:tc>
        <w:tc>
          <w:tcPr>
            <w:tcW w:type="dxa" w:w="37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Kurumsal DMS connector</w:t>
            </w:r>
          </w:p>
        </w:tc>
      </w:tr>
    </w:tbl>
    <w:p>
      <w:pPr>
        <w:spacing w:after="40"/>
      </w:pPr>
    </w:p>
    <w:p>
      <w:pPr>
        <w:pStyle w:val="Heading1"/>
        <w:keepNext/>
      </w:pPr>
      <w:r>
        <w:t>11. Ekran Envanteri ve Kullanıcı Deneyimi</w:t>
      </w:r>
    </w:p>
    <w:tbl>
      <w:tblPr>
        <w:tblStyle w:val="TableGrid"/>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900"/>
        <w:gridCol w:w="2500"/>
        <w:gridCol w:w="5960"/>
      </w:tblGrid>
      <w:tr>
        <w:trPr>
          <w:tblHeader w:val="true"/>
        </w:trPr>
        <w:tc>
          <w:tcPr>
            <w:tcW w:type="dxa" w:w="9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ID</w:t>
            </w:r>
          </w:p>
        </w:tc>
        <w:tc>
          <w:tcPr>
            <w:tcW w:type="dxa" w:w="25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Ekran</w:t>
            </w:r>
          </w:p>
        </w:tc>
        <w:tc>
          <w:tcPr>
            <w:tcW w:type="dxa" w:w="596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Amaç</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S-01</w:t>
            </w:r>
          </w:p>
        </w:tc>
        <w:tc>
          <w:tcPr>
            <w:tcW w:type="dxa" w:w="2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Kontrol Kulesi</w:t>
            </w:r>
          </w:p>
        </w:tc>
        <w:tc>
          <w:tcPr>
            <w:tcW w:type="dxa" w:w="59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Kapsam, eşik, veri, emisyon, maliyet ve beyan KPI</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S-02</w:t>
            </w:r>
          </w:p>
        </w:tc>
        <w:tc>
          <w:tcPr>
            <w:tcW w:type="dxa" w:w="2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İthalat Merkezi</w:t>
            </w:r>
          </w:p>
        </w:tc>
        <w:tc>
          <w:tcPr>
            <w:tcW w:type="dxa" w:w="59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Batch yükleme, kolon eşleme, staging, hata düzeltme</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S-03</w:t>
            </w:r>
          </w:p>
        </w:tc>
        <w:tc>
          <w:tcPr>
            <w:tcW w:type="dxa" w:w="2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İthalat Satırı</w:t>
            </w:r>
          </w:p>
        </w:tc>
        <w:tc>
          <w:tcPr>
            <w:tcW w:type="dxa" w:w="59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Beyan, ürün, CN, menşe, eşik ve hesap izi</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S-04</w:t>
            </w:r>
          </w:p>
        </w:tc>
        <w:tc>
          <w:tcPr>
            <w:tcW w:type="dxa" w:w="2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Ürün/CN Kataloğu</w:t>
            </w:r>
          </w:p>
        </w:tc>
        <w:tc>
          <w:tcPr>
            <w:tcW w:type="dxa" w:w="59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Ürün ana verisi, kural sonucu ve tarihçe</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S-05</w:t>
            </w:r>
          </w:p>
        </w:tc>
        <w:tc>
          <w:tcPr>
            <w:tcW w:type="dxa" w:w="2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50 Ton Defteri</w:t>
            </w:r>
          </w:p>
        </w:tc>
        <w:tc>
          <w:tcPr>
            <w:tcW w:type="dxa" w:w="59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Gerçekleşen, plan, marj, aşım tarihi ve uyarı</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S-06</w:t>
            </w:r>
          </w:p>
        </w:tc>
        <w:tc>
          <w:tcPr>
            <w:tcW w:type="dxa" w:w="2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Tedarikçi Takibi</w:t>
            </w:r>
          </w:p>
        </w:tc>
        <w:tc>
          <w:tcPr>
            <w:tcW w:type="dxa" w:w="59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Talep, SLA, durum, eksik ve eskalasyon</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S-07</w:t>
            </w:r>
          </w:p>
        </w:tc>
        <w:tc>
          <w:tcPr>
            <w:tcW w:type="dxa" w:w="2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Operatör/Tesis</w:t>
            </w:r>
          </w:p>
        </w:tc>
        <w:tc>
          <w:tcPr>
            <w:tcW w:type="dxa" w:w="59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Tesis, proses, rota, dönem ve O3CI kimliği</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S-08</w:t>
            </w:r>
          </w:p>
        </w:tc>
        <w:tc>
          <w:tcPr>
            <w:tcW w:type="dxa" w:w="2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Emisyon Formu</w:t>
            </w:r>
          </w:p>
        </w:tc>
        <w:tc>
          <w:tcPr>
            <w:tcW w:type="dxa" w:w="59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Aktivite, kaynak akışı, elektrik, öncül ve SEE</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S-09</w:t>
            </w:r>
          </w:p>
        </w:tc>
        <w:tc>
          <w:tcPr>
            <w:tcW w:type="dxa" w:w="2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Varsayılan Değer</w:t>
            </w:r>
          </w:p>
        </w:tc>
        <w:tc>
          <w:tcPr>
            <w:tcW w:type="dxa" w:w="59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Ülke/yıl/CN/rota, mark-up ve kaynak</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S-10</w:t>
            </w:r>
          </w:p>
        </w:tc>
        <w:tc>
          <w:tcPr>
            <w:tcW w:type="dxa" w:w="2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Doğrulama</w:t>
            </w:r>
          </w:p>
        </w:tc>
        <w:tc>
          <w:tcPr>
            <w:tcW w:type="dxa" w:w="59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Doğrulayıcı, akreditasyon, rapor ve bulgular</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S-11</w:t>
            </w:r>
          </w:p>
        </w:tc>
        <w:tc>
          <w:tcPr>
            <w:tcW w:type="dxa" w:w="2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Hesap İnceleme</w:t>
            </w:r>
          </w:p>
        </w:tc>
        <w:tc>
          <w:tcPr>
            <w:tcW w:type="dxa" w:w="59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Formül adımları, birimler, reason code ve karşılaştırma</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S-12</w:t>
            </w:r>
          </w:p>
        </w:tc>
        <w:tc>
          <w:tcPr>
            <w:tcW w:type="dxa" w:w="2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Mali Etki</w:t>
            </w:r>
          </w:p>
        </w:tc>
        <w:tc>
          <w:tcPr>
            <w:tcW w:type="dxa" w:w="59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Sertifika adedi, fiyat, bütçe ve hassasiyet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S-13</w:t>
            </w:r>
          </w:p>
        </w:tc>
        <w:tc>
          <w:tcPr>
            <w:tcW w:type="dxa" w:w="2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Yıllık Beyan</w:t>
            </w:r>
          </w:p>
        </w:tc>
        <w:tc>
          <w:tcPr>
            <w:tcW w:type="dxa" w:w="59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Mutabakat, eksik, onay ve snapshot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S-14</w:t>
            </w:r>
          </w:p>
        </w:tc>
        <w:tc>
          <w:tcPr>
            <w:tcW w:type="dxa" w:w="2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Kanıt Kasası</w:t>
            </w:r>
          </w:p>
        </w:tc>
        <w:tc>
          <w:tcPr>
            <w:tcW w:type="dxa" w:w="59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Belge, hash, sürüm, sahip ve geçerlilik</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S-15</w:t>
            </w:r>
          </w:p>
        </w:tc>
        <w:tc>
          <w:tcPr>
            <w:tcW w:type="dxa" w:w="2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Görev Merkezi</w:t>
            </w:r>
          </w:p>
        </w:tc>
        <w:tc>
          <w:tcPr>
            <w:tcW w:type="dxa" w:w="59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SLA, sorumlu, hatırlatma ve eskalasyon</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S-16</w:t>
            </w:r>
          </w:p>
        </w:tc>
        <w:tc>
          <w:tcPr>
            <w:tcW w:type="dxa" w:w="2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Kural Yönetimi</w:t>
            </w:r>
          </w:p>
        </w:tc>
        <w:tc>
          <w:tcPr>
            <w:tcW w:type="dxa" w:w="59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Kural/değer/benchmark/fiyat sürümü ve test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S-17</w:t>
            </w:r>
          </w:p>
        </w:tc>
        <w:tc>
          <w:tcPr>
            <w:tcW w:type="dxa" w:w="2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Audit İnceleme</w:t>
            </w:r>
          </w:p>
        </w:tc>
        <w:tc>
          <w:tcPr>
            <w:tcW w:type="dxa" w:w="59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Actor, olay, diff, hash ve dışa aktarım</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S-18</w:t>
            </w:r>
          </w:p>
        </w:tc>
        <w:tc>
          <w:tcPr>
            <w:tcW w:type="dxa" w:w="25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Yönetim</w:t>
            </w:r>
          </w:p>
        </w:tc>
        <w:tc>
          <w:tcPr>
            <w:tcW w:type="dxa" w:w="59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Tenant, kuruluş, kullanıcı, rol ve politika</w:t>
            </w:r>
          </w:p>
        </w:tc>
      </w:tr>
    </w:tbl>
    <w:p>
      <w:pPr>
        <w:spacing w:after="40"/>
      </w:pPr>
    </w:p>
    <w:p>
      <w:pPr>
        <w:pStyle w:val="Heading2"/>
        <w:keepNext/>
      </w:pPr>
      <w:r>
        <w:t>11.1 UX İlkeleri</w:t>
      </w:r>
    </w:p>
    <w:p>
      <w:pPr>
        <w:pStyle w:val="ListBullet"/>
        <w:spacing w:after="80" w:line="300" w:lineRule="auto"/>
        <w:ind w:left="540" w:hanging="271"/>
      </w:pPr>
      <w:r>
        <w:rPr>
          <w:rFonts w:ascii="Calibri" w:hAnsi="Calibri" w:eastAsia="Calibri"/>
          <w:color w:val="111111"/>
          <w:sz w:val="22"/>
        </w:rPr>
        <w:t>Her otomatik sonucun yanında “neden?”, kural sürümü, veri kaynağı ve hesap izi açılabilir olmalıdır.</w:t>
      </w:r>
    </w:p>
    <w:p>
      <w:pPr>
        <w:pStyle w:val="ListBullet"/>
        <w:spacing w:after="80" w:line="300" w:lineRule="auto"/>
        <w:ind w:left="540" w:hanging="271"/>
      </w:pPr>
      <w:r>
        <w:rPr>
          <w:rFonts w:ascii="Calibri" w:hAnsi="Calibri" w:eastAsia="Calibri"/>
          <w:color w:val="111111"/>
          <w:sz w:val="22"/>
        </w:rPr>
        <w:t>Bloker, uyarı ve bilgi mesajları renk dışında ikon ve metinle ayrılmalıdır.</w:t>
      </w:r>
    </w:p>
    <w:p>
      <w:pPr>
        <w:pStyle w:val="ListBullet"/>
        <w:spacing w:after="80" w:line="300" w:lineRule="auto"/>
        <w:ind w:left="540" w:hanging="271"/>
      </w:pPr>
      <w:r>
        <w:rPr>
          <w:rFonts w:ascii="Calibri" w:hAnsi="Calibri" w:eastAsia="Calibri"/>
          <w:color w:val="111111"/>
          <w:sz w:val="22"/>
        </w:rPr>
        <w:t>Tedarikçi formu sektör ve yöntem seçimine göre kademeli alan göstermelidir.</w:t>
      </w:r>
    </w:p>
    <w:p>
      <w:pPr>
        <w:pStyle w:val="ListBullet"/>
        <w:spacing w:after="80" w:line="300" w:lineRule="auto"/>
        <w:ind w:left="540" w:hanging="271"/>
      </w:pPr>
      <w:r>
        <w:rPr>
          <w:rFonts w:ascii="Calibri" w:hAnsi="Calibri" w:eastAsia="Calibri"/>
          <w:color w:val="111111"/>
          <w:sz w:val="22"/>
        </w:rPr>
        <w:t>Kullanıcı birim dönüşümünü, yuvarlamayı ve fonksiyonel birimi açıkça görebilmelidir.</w:t>
      </w:r>
    </w:p>
    <w:p>
      <w:pPr>
        <w:pStyle w:val="ListBullet"/>
        <w:spacing w:after="80" w:line="300" w:lineRule="auto"/>
        <w:ind w:left="540" w:hanging="271"/>
      </w:pPr>
      <w:r>
        <w:rPr>
          <w:rFonts w:ascii="Calibri" w:hAnsi="Calibri" w:eastAsia="Calibri"/>
          <w:color w:val="111111"/>
          <w:sz w:val="22"/>
        </w:rPr>
        <w:t>Toplu işlemler dry-run, etki özeti, yetki kontrolü ve geri alınabilir taslak aşaması içermelidir.</w:t>
      </w:r>
    </w:p>
    <w:p>
      <w:pPr>
        <w:pStyle w:val="ListBullet"/>
        <w:spacing w:after="80" w:line="300" w:lineRule="auto"/>
        <w:ind w:left="540" w:hanging="271"/>
      </w:pPr>
      <w:r>
        <w:rPr>
          <w:rFonts w:ascii="Calibri" w:hAnsi="Calibri" w:eastAsia="Calibri"/>
          <w:color w:val="111111"/>
          <w:sz w:val="22"/>
        </w:rPr>
        <w:t>Onay ve dışa aktarım ekranı değişmeyecek snapshot kapsamını kullanıcıya özetlemelidir.</w:t>
      </w:r>
    </w:p>
    <w:p>
      <w:pPr>
        <w:pStyle w:val="Heading1"/>
        <w:keepNext/>
      </w:pPr>
      <w:r>
        <w:t>12. Güvenlik ve Fonksiyonel Olmayan Gereksinimler</w:t>
      </w:r>
    </w:p>
    <w:tbl>
      <w:tblPr>
        <w:tblStyle w:val="TableGrid"/>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1100"/>
        <w:gridCol w:w="2300"/>
        <w:gridCol w:w="5960"/>
      </w:tblGrid>
      <w:tr>
        <w:trPr>
          <w:tblHeader w:val="true"/>
        </w:trPr>
        <w:tc>
          <w:tcPr>
            <w:tcW w:type="dxa" w:w="11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ID</w:t>
            </w:r>
          </w:p>
        </w:tc>
        <w:tc>
          <w:tcPr>
            <w:tcW w:type="dxa" w:w="23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Konu</w:t>
            </w:r>
          </w:p>
        </w:tc>
        <w:tc>
          <w:tcPr>
            <w:tcW w:type="dxa" w:w="596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Gereksinim</w:t>
            </w:r>
          </w:p>
        </w:tc>
      </w:tr>
      <w:tr>
        <w:tc>
          <w:tcPr>
            <w:tcW w:type="dxa" w:w="11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NFR-01</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Erişilebilirlik</w:t>
            </w:r>
          </w:p>
        </w:tc>
        <w:tc>
          <w:tcPr>
            <w:tcW w:type="dxa" w:w="59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WCAG 2.2 AA; klavye, kontrast ve form hata özeti</w:t>
            </w:r>
          </w:p>
        </w:tc>
      </w:tr>
      <w:tr>
        <w:tc>
          <w:tcPr>
            <w:tcW w:type="dxa" w:w="11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NFR-02</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Performans</w:t>
            </w:r>
          </w:p>
        </w:tc>
        <w:tc>
          <w:tcPr>
            <w:tcW w:type="dxa" w:w="59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Liste p95 &lt;2 sn; tek hesap p95 &lt;3 sn; 100k satır async</w:t>
            </w:r>
          </w:p>
        </w:tc>
      </w:tr>
      <w:tr>
        <w:tc>
          <w:tcPr>
            <w:tcW w:type="dxa" w:w="11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NFR-03</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Ölçek</w:t>
            </w:r>
          </w:p>
        </w:tc>
        <w:tc>
          <w:tcPr>
            <w:tcW w:type="dxa" w:w="59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Tenant başına yıllık ≥2 milyon ithalat satırı</w:t>
            </w:r>
          </w:p>
        </w:tc>
      </w:tr>
      <w:tr>
        <w:tc>
          <w:tcPr>
            <w:tcW w:type="dxa" w:w="11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NFR-04</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Kullanılabilirlik</w:t>
            </w:r>
          </w:p>
        </w:tc>
        <w:tc>
          <w:tcPr>
            <w:tcW w:type="dxa" w:w="59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Aylık %99,5; planlı bakım hariç</w:t>
            </w:r>
          </w:p>
        </w:tc>
      </w:tr>
      <w:tr>
        <w:tc>
          <w:tcPr>
            <w:tcW w:type="dxa" w:w="11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NFR-05</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Güvenlik</w:t>
            </w:r>
          </w:p>
        </w:tc>
        <w:tc>
          <w:tcPr>
            <w:tcW w:type="dxa" w:w="59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OIDC, MFA, least privilege, OWASP ASVS L2</w:t>
            </w:r>
          </w:p>
        </w:tc>
      </w:tr>
      <w:tr>
        <w:tc>
          <w:tcPr>
            <w:tcW w:type="dxa" w:w="11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NFR-06</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Şifreleme</w:t>
            </w:r>
          </w:p>
        </w:tc>
        <w:tc>
          <w:tcPr>
            <w:tcW w:type="dxa" w:w="59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TLS 1.2+; at-rest AES-256/KMS</w:t>
            </w:r>
          </w:p>
        </w:tc>
      </w:tr>
      <w:tr>
        <w:tc>
          <w:tcPr>
            <w:tcW w:type="dxa" w:w="11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NFR-07</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Tenant izolasyonu</w:t>
            </w:r>
          </w:p>
        </w:tc>
        <w:tc>
          <w:tcPr>
            <w:tcW w:type="dxa" w:w="59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RLS + servis katmanı + otomatik negatif test</w:t>
            </w:r>
          </w:p>
        </w:tc>
      </w:tr>
      <w:tr>
        <w:tc>
          <w:tcPr>
            <w:tcW w:type="dxa" w:w="11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NFR-08</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Audit</w:t>
            </w:r>
          </w:p>
        </w:tc>
        <w:tc>
          <w:tcPr>
            <w:tcW w:type="dxa" w:w="59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Append-only olay; silme/değiştirme alarmı</w:t>
            </w:r>
          </w:p>
        </w:tc>
      </w:tr>
      <w:tr>
        <w:tc>
          <w:tcPr>
            <w:tcW w:type="dxa" w:w="11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NFR-09</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Dosya güvenliği</w:t>
            </w:r>
          </w:p>
        </w:tc>
        <w:tc>
          <w:tcPr>
            <w:tcW w:type="dxa" w:w="59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Allowlist, boyut limiti, malware scan, hash</w:t>
            </w:r>
          </w:p>
        </w:tc>
      </w:tr>
      <w:tr>
        <w:tc>
          <w:tcPr>
            <w:tcW w:type="dxa" w:w="11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NFR-10</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Yedekleme</w:t>
            </w:r>
          </w:p>
        </w:tc>
        <w:tc>
          <w:tcPr>
            <w:tcW w:type="dxa" w:w="59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RPO ≤24 saat; RTO ≤8 saat; geri yükleme testi</w:t>
            </w:r>
          </w:p>
        </w:tc>
      </w:tr>
      <w:tr>
        <w:tc>
          <w:tcPr>
            <w:tcW w:type="dxa" w:w="11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NFR-11</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Gözlemlenebilirlik</w:t>
            </w:r>
          </w:p>
        </w:tc>
        <w:tc>
          <w:tcPr>
            <w:tcW w:type="dxa" w:w="59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Structured log, metric, trace ve job alarmı</w:t>
            </w:r>
          </w:p>
        </w:tc>
      </w:tr>
      <w:tr>
        <w:tc>
          <w:tcPr>
            <w:tcW w:type="dxa" w:w="11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NFR-12</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Hassas veri</w:t>
            </w:r>
          </w:p>
        </w:tc>
        <w:tc>
          <w:tcPr>
            <w:tcW w:type="dxa" w:w="59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Alan bazlı maskeleme, export yetkisi ve DLP kontrolü</w:t>
            </w:r>
          </w:p>
        </w:tc>
      </w:tr>
      <w:tr>
        <w:tc>
          <w:tcPr>
            <w:tcW w:type="dxa" w:w="11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NFR-13</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Doğruluk</w:t>
            </w:r>
          </w:p>
        </w:tc>
        <w:tc>
          <w:tcPr>
            <w:tcW w:type="dxa" w:w="59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Decimal hesap, birim kataloğu ve kanonik test vakası</w:t>
            </w:r>
          </w:p>
        </w:tc>
      </w:tr>
      <w:tr>
        <w:tc>
          <w:tcPr>
            <w:tcW w:type="dxa" w:w="11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NFR-14</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Sürdürülebilirlik</w:t>
            </w:r>
          </w:p>
        </w:tc>
        <w:tc>
          <w:tcPr>
            <w:tcW w:type="dxa" w:w="59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Batch iş, cache ve veri saklama optimizasyonu</w:t>
            </w:r>
          </w:p>
        </w:tc>
      </w:tr>
    </w:tbl>
    <w:p>
      <w:pPr>
        <w:spacing w:after="40"/>
      </w:pPr>
    </w:p>
    <w:p>
      <w:pPr>
        <w:pStyle w:val="Heading2"/>
        <w:keepNext/>
      </w:pPr>
      <w:r>
        <w:t>12.1 Zorunlu Audit Alanları</w:t>
      </w:r>
    </w:p>
    <w:p>
      <w:pPr>
        <w:pStyle w:val="ListBullet"/>
        <w:spacing w:after="80" w:line="300" w:lineRule="auto"/>
        <w:ind w:left="540" w:hanging="271"/>
      </w:pPr>
      <w:r>
        <w:rPr>
          <w:rFonts w:ascii="Calibri" w:hAnsi="Calibri" w:eastAsia="Calibri"/>
          <w:color w:val="111111"/>
          <w:sz w:val="22"/>
        </w:rPr>
        <w:t>event_id, tenant_id, timestamp_utc, actor_id, actor_type, action, object_type, object_id</w:t>
      </w:r>
    </w:p>
    <w:p>
      <w:pPr>
        <w:pStyle w:val="ListBullet"/>
        <w:spacing w:after="80" w:line="300" w:lineRule="auto"/>
        <w:ind w:left="540" w:hanging="271"/>
      </w:pPr>
      <w:r>
        <w:rPr>
          <w:rFonts w:ascii="Calibri" w:hAnsi="Calibri" w:eastAsia="Calibri"/>
          <w:color w:val="111111"/>
          <w:sz w:val="22"/>
        </w:rPr>
        <w:t>before_hash, after_hash, changed_fields, reason, correlation_id, source_ip, user_agent</w:t>
      </w:r>
    </w:p>
    <w:p>
      <w:pPr>
        <w:pStyle w:val="ListBullet"/>
        <w:spacing w:after="80" w:line="300" w:lineRule="auto"/>
        <w:ind w:left="540" w:hanging="271"/>
      </w:pPr>
      <w:r>
        <w:rPr>
          <w:rFonts w:ascii="Calibri" w:hAnsi="Calibri" w:eastAsia="Calibri"/>
          <w:color w:val="111111"/>
          <w:sz w:val="22"/>
        </w:rPr>
        <w:t>ruleset_version, data_version, calculation_run_id, approval_id ve export_manifest_id</w:t>
      </w:r>
    </w:p>
    <w:p>
      <w:pPr>
        <w:pStyle w:val="Heading1"/>
        <w:keepNext/>
      </w:pPr>
      <w:r>
        <w:t>13. Denetim İzi, Kanıt ve Saklama</w:t>
      </w:r>
    </w:p>
    <w:p>
      <w:pPr>
        <w:keepNext w:val="0"/>
        <w:spacing w:before="0" w:after="120" w:line="300" w:lineRule="auto"/>
        <w:jc w:val="left"/>
      </w:pPr>
      <w:r>
        <w:rPr>
          <w:rFonts w:ascii="Calibri" w:hAnsi="Calibri" w:eastAsia="Calibri"/>
          <w:b w:val="0"/>
          <w:i w:val="0"/>
          <w:color w:val="111111"/>
          <w:sz w:val="22"/>
        </w:rPr>
        <w:t>Sistem, ticari ve kişisel veriyi gereksiz çoğaltmadan CBAM denetimi için gereken kaynak, hesap, doğrulama, onay ve dışa aktarım izini korur. Saklama süreleri kayıt türü, ülke, sözleşme ve hukuk değerlendirmesiyle parametrik olmalıdır.</w:t>
      </w:r>
    </w:p>
    <w:tbl>
      <w:tblPr>
        <w:tblStyle w:val="TableGrid"/>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1900"/>
        <w:gridCol w:w="5000"/>
        <w:gridCol w:w="2460"/>
      </w:tblGrid>
      <w:tr>
        <w:trPr>
          <w:tblHeader w:val="true"/>
        </w:trPr>
        <w:tc>
          <w:tcPr>
            <w:tcW w:type="dxa" w:w="19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Kayıt türü</w:t>
            </w:r>
          </w:p>
        </w:tc>
        <w:tc>
          <w:tcPr>
            <w:tcW w:type="dxa" w:w="50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Asgari sistem davranışı</w:t>
            </w:r>
          </w:p>
        </w:tc>
        <w:tc>
          <w:tcPr>
            <w:tcW w:type="dxa" w:w="246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Kontrol</w:t>
            </w:r>
          </w:p>
        </w:tc>
      </w:tr>
      <w:tr>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İthalat kaydı</w:t>
            </w:r>
          </w:p>
        </w:tc>
        <w:tc>
          <w:tcPr>
            <w:tcW w:type="dxa" w:w="5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Kaynak dosya, parse sonucu, düzeltme ve mutabakat sürümü</w:t>
            </w:r>
          </w:p>
        </w:tc>
        <w:tc>
          <w:tcPr>
            <w:tcW w:type="dxa" w:w="2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MRN/kalem benzersizliği</w:t>
            </w:r>
          </w:p>
        </w:tc>
      </w:tr>
      <w:tr>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Kural/değer</w:t>
            </w:r>
          </w:p>
        </w:tc>
        <w:tc>
          <w:tcPr>
            <w:tcW w:type="dxa" w:w="5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Resmî kaynak, yürürlük, yayın ve geri çekme tarihçesi</w:t>
            </w:r>
          </w:p>
        </w:tc>
        <w:tc>
          <w:tcPr>
            <w:tcW w:type="dxa" w:w="2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Dört göz yayımlama</w:t>
            </w:r>
          </w:p>
        </w:tc>
      </w:tr>
      <w:tr>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Emisyon verisi</w:t>
            </w:r>
          </w:p>
        </w:tc>
        <w:tc>
          <w:tcPr>
            <w:tcW w:type="dxa" w:w="5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Kaynak akışı, birim, faktör, dönem ve hesap izi</w:t>
            </w:r>
          </w:p>
        </w:tc>
        <w:tc>
          <w:tcPr>
            <w:tcW w:type="dxa" w:w="2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Toplam/aktivite mutabakatı</w:t>
            </w:r>
          </w:p>
        </w:tc>
      </w:tr>
      <w:tr>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Doğrulama</w:t>
            </w:r>
          </w:p>
        </w:tc>
        <w:tc>
          <w:tcPr>
            <w:tcW w:type="dxa" w:w="5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Rapor, akreditasyon, kapsam, görüş ve bulgular</w:t>
            </w:r>
          </w:p>
        </w:tc>
        <w:tc>
          <w:tcPr>
            <w:tcW w:type="dxa" w:w="2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Geçerlilik ve tesis eşleşmesi</w:t>
            </w:r>
          </w:p>
        </w:tc>
      </w:tr>
      <w:tr>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Karbon bedeli</w:t>
            </w:r>
          </w:p>
        </w:tc>
        <w:tc>
          <w:tcPr>
            <w:tcW w:type="dxa" w:w="5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Ödeme kanıtı, şema, para ve dönüştürme sürümü</w:t>
            </w:r>
          </w:p>
        </w:tc>
        <w:tc>
          <w:tcPr>
            <w:tcW w:type="dxa" w:w="2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Yetkili inceleme</w:t>
            </w:r>
          </w:p>
        </w:tc>
      </w:tr>
      <w:tr>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Beyan snapshot</w:t>
            </w:r>
          </w:p>
        </w:tc>
        <w:tc>
          <w:tcPr>
            <w:tcW w:type="dxa" w:w="5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Satır listesi, toplam, hash, onay ve manifest</w:t>
            </w:r>
          </w:p>
        </w:tc>
        <w:tc>
          <w:tcPr>
            <w:tcW w:type="dxa" w:w="2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Immutable</w:t>
            </w:r>
          </w:p>
        </w:tc>
      </w:tr>
      <w:tr>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Dışa aktarım</w:t>
            </w:r>
          </w:p>
        </w:tc>
        <w:tc>
          <w:tcPr>
            <w:tcW w:type="dxa" w:w="5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Kim, ne zaman, hangi filtre/sürüm ve dosya hash’i</w:t>
            </w:r>
          </w:p>
        </w:tc>
        <w:tc>
          <w:tcPr>
            <w:tcW w:type="dxa" w:w="2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Export yetkisi</w:t>
            </w:r>
          </w:p>
        </w:tc>
      </w:tr>
    </w:tbl>
    <w:p>
      <w:pPr>
        <w:spacing w:after="40"/>
      </w:pPr>
    </w:p>
    <w:tbl>
      <w:tblPr>
        <w:tblW w:type="dxa" w:w="9360"/>
        <w:jc w:val="left"/>
        <w:tblLayout w:type="fixed"/>
        <w:tblLook w:firstColumn="1" w:firstRow="1" w:lastColumn="0" w:lastRow="0" w:noHBand="0" w:noVBand="1" w:val="04A0"/>
        <w:tblInd w:w="120" w:type="dxa"/>
        <w:tblBorders>
          <w:top w:val="single" w:sz="8" w:space="0" w:color="D6B45D"/>
          <w:left w:val="single" w:sz="8" w:space="0" w:color="D6B45D"/>
          <w:bottom w:val="single" w:sz="8" w:space="0" w:color="D6B45D"/>
          <w:right w:val="single" w:sz="8" w:space="0" w:color="D6B45D"/>
          <w:insideH w:val="single" w:sz="8" w:space="0" w:color="D6B45D"/>
          <w:insideV w:val="single" w:sz="8" w:space="0" w:color="D6B45D"/>
        </w:tblBorders>
      </w:tblPr>
      <w:tblGrid>
        <w:gridCol w:w="9360"/>
      </w:tblGrid>
      <w:tr>
        <w:trPr>
          <w:cantSplit/>
        </w:trPr>
        <w:tc>
          <w:tcPr>
            <w:tcW w:type="dxa" w:w="9360"/>
            <w:shd w:fill="FFF7E0"/>
            <w:tcMar>
              <w:top w:w="140" w:type="dxa"/>
              <w:start w:w="180" w:type="dxa"/>
              <w:bottom w:w="140" w:type="dxa"/>
              <w:end w:w="180" w:type="dxa"/>
            </w:tcMar>
            <w:vAlign w:val="center"/>
          </w:tcPr>
          <w:p>
            <w:pPr>
              <w:spacing w:after="0" w:line="276" w:lineRule="auto"/>
            </w:pPr>
            <w:r/>
            <w:r>
              <w:rPr>
                <w:rFonts w:ascii="Calibri" w:hAnsi="Calibri" w:eastAsia="Calibri"/>
                <w:b/>
                <w:color w:val="0B2545"/>
                <w:sz w:val="20"/>
              </w:rPr>
              <w:t xml:space="preserve">Saklama kararı: </w:t>
            </w:r>
            <w:r>
              <w:rPr>
                <w:rFonts w:ascii="Calibri" w:hAnsi="Calibri" w:eastAsia="Calibri"/>
                <w:color w:val="111111"/>
                <w:sz w:val="20"/>
              </w:rPr>
              <w:t>MVP’de varsayılan silme süresi hard-code edilmemelidir. Record_type + jurisdiction + tenant_policy matrisi hukuk/uyum onayıyla uygulanmalı; legal hold aktif kaydı silmeye kapatmalıdır.</w:t>
            </w:r>
          </w:p>
        </w:tc>
      </w:tr>
    </w:tbl>
    <w:p>
      <w:pPr>
        <w:keepNext w:val="0"/>
        <w:spacing w:before="0" w:after="40" w:line="300" w:lineRule="auto"/>
        <w:jc w:val="left"/>
      </w:pPr>
      <w:r>
        <w:rPr>
          <w:rFonts w:ascii="Calibri" w:hAnsi="Calibri" w:eastAsia="Calibri"/>
          <w:b w:val="0"/>
          <w:i w:val="0"/>
          <w:color w:val="111111"/>
          <w:sz w:val="22"/>
        </w:rPr>
      </w:r>
    </w:p>
    <w:p>
      <w:pPr>
        <w:pStyle w:val="Heading1"/>
        <w:keepNext/>
      </w:pPr>
      <w:r>
        <w:t>14. KPI, Kontrol Kulesi ve Raporlama</w:t>
      </w:r>
    </w:p>
    <w:tbl>
      <w:tblPr>
        <w:tblStyle w:val="TableGrid"/>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2200"/>
        <w:gridCol w:w="4300"/>
        <w:gridCol w:w="2860"/>
      </w:tblGrid>
      <w:tr>
        <w:trPr>
          <w:tblHeader w:val="true"/>
        </w:trPr>
        <w:tc>
          <w:tcPr>
            <w:tcW w:type="dxa" w:w="22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KPI</w:t>
            </w:r>
          </w:p>
        </w:tc>
        <w:tc>
          <w:tcPr>
            <w:tcW w:type="dxa" w:w="43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Tanım</w:t>
            </w:r>
          </w:p>
        </w:tc>
        <w:tc>
          <w:tcPr>
            <w:tcW w:type="dxa" w:w="286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Boyutlar</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Kapsamdaki net kütle</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Yıl içi uygulanabilir CBAM malı net kütlesi</w:t>
            </w:r>
          </w:p>
        </w:tc>
        <w:tc>
          <w:tcPr>
            <w:tcW w:type="dxa" w:w="28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Kuruluş, sektör, CN, ay</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Eşik marjı</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50 ton eşiğine kalan veya aşılan miktar</w:t>
            </w:r>
          </w:p>
        </w:tc>
        <w:tc>
          <w:tcPr>
            <w:tcW w:type="dxa" w:w="28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Beyan sahibi, yıl</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Veri tamlık oranı</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Zorunlu alan/kanıt tamlığı</w:t>
            </w:r>
          </w:p>
        </w:tc>
        <w:tc>
          <w:tcPr>
            <w:tcW w:type="dxa" w:w="28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Tedarikçi, tesis, sektör</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Gerçek veri oranı</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ACTUAL_VERIFIED emisyonlu miktar payı</w:t>
            </w:r>
          </w:p>
        </w:tc>
        <w:tc>
          <w:tcPr>
            <w:tcW w:type="dxa" w:w="28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Sektör, tesis, ülke</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Varsayılan değer etkisi</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Default–actual karşılaştırmalı tCO2e ve maliyet</w:t>
            </w:r>
          </w:p>
        </w:tc>
        <w:tc>
          <w:tcPr>
            <w:tcW w:type="dxa" w:w="28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CN, ülke, rota</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Açık doğrulama bulgusu</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Kritik/yüksek açık bulgu sayısı</w:t>
            </w:r>
          </w:p>
        </w:tc>
        <w:tc>
          <w:tcPr>
            <w:tcW w:type="dxa" w:w="28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Doğrulayıcı, tesis</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Gömülü emisyon</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Brüt ve raporlanabilir tCO2e</w:t>
            </w:r>
          </w:p>
        </w:tc>
        <w:tc>
          <w:tcPr>
            <w:tcW w:type="dxa" w:w="28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Kuruluş, sektör, tedarikçi</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Sertifika ihtiyacı</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Düzeltmeler sonrası tahmini sertifika adedi</w:t>
            </w:r>
          </w:p>
        </w:tc>
        <w:tc>
          <w:tcPr>
            <w:tcW w:type="dxa" w:w="28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Çeyrek/yıl</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Maliyet tahmini</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Sertifika fiyatı ve senaryoya göre EUR</w:t>
            </w:r>
          </w:p>
        </w:tc>
        <w:tc>
          <w:tcPr>
            <w:tcW w:type="dxa" w:w="28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Kuruluş, dönem</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Beyan readiness</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Hazır satır/toplam uygulanabilir satır</w:t>
            </w:r>
          </w:p>
        </w:tc>
        <w:tc>
          <w:tcPr>
            <w:tcW w:type="dxa" w:w="28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Yıl, beyan sahibi</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SLA performansı</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Zamanında kapanan talep/görev oranı</w:t>
            </w:r>
          </w:p>
        </w:tc>
        <w:tc>
          <w:tcPr>
            <w:tcW w:type="dxa" w:w="28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Sahip, tedarikçi</w:t>
            </w:r>
          </w:p>
        </w:tc>
      </w:tr>
    </w:tbl>
    <w:p>
      <w:pPr>
        <w:spacing w:after="40"/>
      </w:pPr>
    </w:p>
    <w:tbl>
      <w:tblPr>
        <w:tblW w:type="dxa" w:w="9360"/>
        <w:jc w:val="left"/>
        <w:tblLayout w:type="fixed"/>
        <w:tblLook w:firstColumn="1" w:firstRow="1" w:lastColumn="0" w:lastRow="0" w:noHBand="0" w:noVBand="1" w:val="04A0"/>
        <w:tblInd w:w="120" w:type="dxa"/>
        <w:tblBorders>
          <w:top w:val="single" w:sz="8" w:space="0" w:color="B8C2CC"/>
          <w:left w:val="single" w:sz="8" w:space="0" w:color="B8C2CC"/>
          <w:bottom w:val="single" w:sz="8" w:space="0" w:color="B8C2CC"/>
          <w:right w:val="single" w:sz="8" w:space="0" w:color="B8C2CC"/>
          <w:insideH w:val="single" w:sz="8" w:space="0" w:color="B8C2CC"/>
          <w:insideV w:val="single" w:sz="8" w:space="0" w:color="B8C2CC"/>
        </w:tblBorders>
      </w:tblPr>
      <w:tblGrid>
        <w:gridCol w:w="9360"/>
      </w:tblGrid>
      <w:tr>
        <w:trPr>
          <w:cantSplit/>
        </w:trPr>
        <w:tc>
          <w:tcPr>
            <w:tcW w:type="dxa" w:w="9360"/>
            <w:shd w:fill="F4F6F9"/>
            <w:tcMar>
              <w:top w:w="140" w:type="dxa"/>
              <w:start w:w="180" w:type="dxa"/>
              <w:bottom w:w="140" w:type="dxa"/>
              <w:end w:w="180" w:type="dxa"/>
            </w:tcMar>
            <w:vAlign w:val="center"/>
          </w:tcPr>
          <w:p>
            <w:pPr>
              <w:spacing w:after="0" w:line="276" w:lineRule="auto"/>
            </w:pPr>
            <w:r/>
            <w:r>
              <w:rPr>
                <w:rFonts w:ascii="Calibri" w:hAnsi="Calibri" w:eastAsia="Calibri"/>
                <w:b/>
                <w:color w:val="0B2545"/>
                <w:sz w:val="20"/>
              </w:rPr>
              <w:t xml:space="preserve">KPI güvenilirliği: </w:t>
            </w:r>
            <w:r>
              <w:rPr>
                <w:rFonts w:ascii="Calibri" w:hAnsi="Calibri" w:eastAsia="Calibri"/>
                <w:color w:val="111111"/>
                <w:sz w:val="20"/>
              </w:rPr>
              <w:t>Her KPI son veri yenileme zamanı, kapsamı, kullanılan fiyat/kural sürümü ve kalite bandını göstermelidir. Eksik veya default veriden üretilen sayı kesin mali yükümlülük gibi sunulmamalıdır.</w:t>
            </w:r>
          </w:p>
        </w:tc>
      </w:tr>
    </w:tbl>
    <w:p>
      <w:pPr>
        <w:keepNext w:val="0"/>
        <w:spacing w:before="0" w:after="40" w:line="300" w:lineRule="auto"/>
        <w:jc w:val="left"/>
      </w:pPr>
      <w:r>
        <w:rPr>
          <w:rFonts w:ascii="Calibri" w:hAnsi="Calibri" w:eastAsia="Calibri"/>
          <w:b w:val="0"/>
          <w:i w:val="0"/>
          <w:color w:val="111111"/>
          <w:sz w:val="22"/>
        </w:rPr>
      </w:r>
    </w:p>
    <w:p>
      <w:pPr>
        <w:pStyle w:val="Heading1"/>
        <w:keepNext/>
      </w:pPr>
      <w:r>
        <w:t>15. Hata, İstisna ve Sınır Durumları</w:t>
      </w:r>
    </w:p>
    <w:tbl>
      <w:tblPr>
        <w:tblStyle w:val="TableGrid"/>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2900"/>
        <w:gridCol w:w="6460"/>
      </w:tblGrid>
      <w:tr>
        <w:trPr>
          <w:tblHeader w:val="true"/>
        </w:trPr>
        <w:tc>
          <w:tcPr>
            <w:tcW w:type="dxa" w:w="29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Durum</w:t>
            </w:r>
          </w:p>
        </w:tc>
        <w:tc>
          <w:tcPr>
            <w:tcW w:type="dxa" w:w="646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Beklenen sistem davranışı</w:t>
            </w:r>
          </w:p>
        </w:tc>
      </w:tr>
      <w:tr>
        <w:tc>
          <w:tcPr>
            <w:tcW w:type="dxa" w:w="2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CN kodu eksik/geçersiz</w:t>
            </w:r>
          </w:p>
        </w:tc>
        <w:tc>
          <w:tcPr>
            <w:tcW w:type="dxa" w:w="6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Satır hesap dışı; IMPORT_EDITOR görev ve hata kodu</w:t>
            </w:r>
          </w:p>
        </w:tc>
      </w:tr>
      <w:tr>
        <w:tc>
          <w:tcPr>
            <w:tcW w:type="dxa" w:w="2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Menşe ile üretim ülkesi farklı</w:t>
            </w:r>
          </w:p>
        </w:tc>
        <w:tc>
          <w:tcPr>
            <w:tcW w:type="dxa" w:w="6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İki alan korunur; scope ve default seçimi ayrı gerekçelenir</w:t>
            </w:r>
          </w:p>
        </w:tc>
      </w:tr>
      <w:tr>
        <w:tc>
          <w:tcPr>
            <w:tcW w:type="dxa" w:w="2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50 tona yaklaşım</w:t>
            </w:r>
          </w:p>
        </w:tc>
        <w:tc>
          <w:tcPr>
            <w:tcW w:type="dxa" w:w="6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Tahmin uyarısı; Y kodu/hesap numarası hazırlık görevi</w:t>
            </w:r>
          </w:p>
        </w:tc>
      </w:tr>
      <w:tr>
        <w:tc>
          <w:tcPr>
            <w:tcW w:type="dxa" w:w="2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Eşik yıl içinde aşılır</w:t>
            </w:r>
          </w:p>
        </w:tc>
        <w:tc>
          <w:tcPr>
            <w:tcW w:type="dxa" w:w="6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Yılın ilgili tüm kayıtları yeniden applicability incelemesine alınır</w:t>
            </w:r>
          </w:p>
        </w:tc>
      </w:tr>
      <w:tr>
        <w:tc>
          <w:tcPr>
            <w:tcW w:type="dxa" w:w="2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Hidrojen/elektrik</w:t>
            </w:r>
          </w:p>
        </w:tc>
        <w:tc>
          <w:tcPr>
            <w:tcW w:type="dxa" w:w="6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50 ton muafiyeti uygulanmadan yetkilendirme kontrolü</w:t>
            </w:r>
          </w:p>
        </w:tc>
      </w:tr>
      <w:tr>
        <w:tc>
          <w:tcPr>
            <w:tcW w:type="dxa" w:w="2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Gerçek veri fakat rapor yok</w:t>
            </w:r>
          </w:p>
        </w:tc>
        <w:tc>
          <w:tcPr>
            <w:tcW w:type="dxa" w:w="6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ACTUAL_DRAFT; beyana alınamaz, default alternatifi gösterilir</w:t>
            </w:r>
          </w:p>
        </w:tc>
      </w:tr>
      <w:tr>
        <w:tc>
          <w:tcPr>
            <w:tcW w:type="dxa" w:w="2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Akreditasyon kapsam dışı</w:t>
            </w:r>
          </w:p>
        </w:tc>
        <w:tc>
          <w:tcPr>
            <w:tcW w:type="dxa" w:w="6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Doğrulama geçersiz; kritik blocker</w:t>
            </w:r>
          </w:p>
        </w:tc>
      </w:tr>
      <w:tr>
        <w:tc>
          <w:tcPr>
            <w:tcW w:type="dxa" w:w="2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Tesis/proses dönemi uyumsuz</w:t>
            </w:r>
          </w:p>
        </w:tc>
        <w:tc>
          <w:tcPr>
            <w:tcW w:type="dxa" w:w="6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Hesap durur; dönem düzeltme görevi</w:t>
            </w:r>
          </w:p>
        </w:tc>
      </w:tr>
      <w:tr>
        <w:tc>
          <w:tcPr>
            <w:tcW w:type="dxa" w:w="2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Öncül tesis bilinmiyor</w:t>
            </w:r>
          </w:p>
        </w:tc>
        <w:tc>
          <w:tcPr>
            <w:tcW w:type="dxa" w:w="6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Kuralın izin verdiği default/unknown-country yolu ve uyarı</w:t>
            </w:r>
          </w:p>
        </w:tc>
      </w:tr>
      <w:tr>
        <w:tc>
          <w:tcPr>
            <w:tcW w:type="dxa" w:w="2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Negatif yükümlülük</w:t>
            </w:r>
          </w:p>
        </w:tc>
        <w:tc>
          <w:tcPr>
            <w:tcW w:type="dxa" w:w="6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Mal bazında sıfıra tabanlanır; diğer mallardan düşülmez</w:t>
            </w:r>
          </w:p>
        </w:tc>
      </w:tr>
      <w:tr>
        <w:tc>
          <w:tcPr>
            <w:tcW w:type="dxa" w:w="2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Fiyat yayımlanmamış</w:t>
            </w:r>
          </w:p>
        </w:tc>
        <w:tc>
          <w:tcPr>
            <w:tcW w:type="dxa" w:w="6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Senaryo fiyatı etiketi; resmî maliyet olarak yayımlanamaz</w:t>
            </w:r>
          </w:p>
        </w:tc>
      </w:tr>
      <w:tr>
        <w:tc>
          <w:tcPr>
            <w:tcW w:type="dxa" w:w="2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Karbon bedeli kanıtı eksik</w:t>
            </w:r>
          </w:p>
        </w:tc>
        <w:tc>
          <w:tcPr>
            <w:tcW w:type="dxa" w:w="6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Düşüm uygulanmaz; uzman/finans görevi</w:t>
            </w:r>
          </w:p>
        </w:tc>
      </w:tr>
      <w:tr>
        <w:tc>
          <w:tcPr>
            <w:tcW w:type="dxa" w:w="2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Aynı MRN/kalem tekrar</w:t>
            </w:r>
          </w:p>
        </w:tc>
        <w:tc>
          <w:tcPr>
            <w:tcW w:type="dxa" w:w="6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Idempotent güncelleme veya duplicate quarantine</w:t>
            </w:r>
          </w:p>
        </w:tc>
      </w:tr>
      <w:tr>
        <w:tc>
          <w:tcPr>
            <w:tcW w:type="dxa" w:w="2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Kur/fiyat revizyonu</w:t>
            </w:r>
          </w:p>
        </w:tc>
        <w:tc>
          <w:tcPr>
            <w:tcW w:type="dxa" w:w="6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Yeni maliyet snapshot’ı; eski onaylı sonuç korunur</w:t>
            </w:r>
          </w:p>
        </w:tc>
      </w:tr>
      <w:tr>
        <w:tc>
          <w:tcPr>
            <w:tcW w:type="dxa" w:w="2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Resmî sicil ile fark</w:t>
            </w:r>
          </w:p>
        </w:tc>
        <w:tc>
          <w:tcPr>
            <w:tcW w:type="dxa" w:w="6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Mutabakat kaydı, gerekçe ve yetkili kapanış</w:t>
            </w:r>
          </w:p>
        </w:tc>
      </w:tr>
    </w:tbl>
    <w:p>
      <w:pPr>
        <w:spacing w:after="40"/>
      </w:pPr>
    </w:p>
    <w:p>
      <w:pPr>
        <w:pStyle w:val="Heading1"/>
        <w:keepNext/>
      </w:pPr>
      <w:r>
        <w:t>16. Test Senaryoları ve Kabul Kriterleri</w:t>
      </w:r>
    </w:p>
    <w:tbl>
      <w:tblPr>
        <w:tblStyle w:val="TableGrid"/>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900"/>
        <w:gridCol w:w="3000"/>
        <w:gridCol w:w="5460"/>
      </w:tblGrid>
      <w:tr>
        <w:trPr>
          <w:tblHeader w:val="true"/>
        </w:trPr>
        <w:tc>
          <w:tcPr>
            <w:tcW w:type="dxa" w:w="9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5"/>
              </w:rPr>
              <w:t>ID</w:t>
            </w:r>
          </w:p>
        </w:tc>
        <w:tc>
          <w:tcPr>
            <w:tcW w:type="dxa" w:w="30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5"/>
              </w:rPr>
              <w:t>Senaryo</w:t>
            </w:r>
          </w:p>
        </w:tc>
        <w:tc>
          <w:tcPr>
            <w:tcW w:type="dxa" w:w="546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5"/>
              </w:rPr>
              <w:t>Beklenen sonuç</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AT-01</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Annex I dışı CN</w:t>
            </w:r>
          </w:p>
        </w:tc>
        <w:tc>
          <w:tcPr>
            <w:tcW w:type="dxa" w:w="5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OUT_OF_SCOPE; gerekçe CN_NOT_IN_ANNEX_I</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AT-02</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Muaf menşe</w:t>
            </w:r>
          </w:p>
        </w:tc>
        <w:tc>
          <w:tcPr>
            <w:tcW w:type="dxa" w:w="5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EXEMPT; kaynak kural ve tarih görünür</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AT-03</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49,9 ton gerçekleşen</w:t>
            </w:r>
          </w:p>
        </w:tc>
        <w:tc>
          <w:tcPr>
            <w:tcW w:type="dxa" w:w="5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EXEMPT_BELOW_THRESHOLD; kalan marj görünür</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AT-04</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49,9 ton + plan 2 ton</w:t>
            </w:r>
          </w:p>
        </w:tc>
        <w:tc>
          <w:tcPr>
            <w:tcW w:type="dxa" w:w="5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THRESHOLD_REACHED_OR_FORESEEABLE uyarısı</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AT-05</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Hidrojen 1 ton</w:t>
            </w:r>
          </w:p>
        </w:tc>
        <w:tc>
          <w:tcPr>
            <w:tcW w:type="dxa" w:w="5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Eşik uygulanmadan APPLICABLE</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AT-06</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Elektrik ithalatı</w:t>
            </w:r>
          </w:p>
        </w:tc>
        <w:tc>
          <w:tcPr>
            <w:tcW w:type="dxa" w:w="5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Özel fonksiyonel birim ve applicability</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AT-07</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Duplicate MRN/kalem</w:t>
            </w:r>
          </w:p>
        </w:tc>
        <w:tc>
          <w:tcPr>
            <w:tcW w:type="dxa" w:w="5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İkinci kayıt oluşmaz</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AT-08</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Eksik CN importu</w:t>
            </w:r>
          </w:p>
        </w:tc>
        <w:tc>
          <w:tcPr>
            <w:tcW w:type="dxa" w:w="5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Satır quarantine; anlaşılır hata raporu</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AT-09</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Gerçek veri + geçerli rapor</w:t>
            </w:r>
          </w:p>
        </w:tc>
        <w:tc>
          <w:tcPr>
            <w:tcW w:type="dxa" w:w="5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ACTUAL_VERIFIED yöntemi</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AT-10</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Gerçek veri + süresi geçmiş akreditasyon</w:t>
            </w:r>
          </w:p>
        </w:tc>
        <w:tc>
          <w:tcPr>
            <w:tcW w:type="dxa" w:w="5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Kritik blocker</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AT-11</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Default 2026</w:t>
            </w:r>
          </w:p>
        </w:tc>
        <w:tc>
          <w:tcPr>
            <w:tcW w:type="dxa" w:w="5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Doğru ülke/CN/rota ve 2026 mark-up sürümü</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AT-12</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Default ülke bulunamadı</w:t>
            </w:r>
          </w:p>
        </w:tc>
        <w:tc>
          <w:tcPr>
            <w:tcW w:type="dxa" w:w="5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Other countries kuralı veya blocker</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AT-13</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Kompleks ürün ve öncül</w:t>
            </w:r>
          </w:p>
        </w:tc>
        <w:tc>
          <w:tcPr>
            <w:tcW w:type="dxa" w:w="5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Ağırlıklı SEE ve hesap izi doğru</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AT-14</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Dolaylı emisyon kapsam dışı sektör</w:t>
            </w:r>
          </w:p>
        </w:tc>
        <w:tc>
          <w:tcPr>
            <w:tcW w:type="dxa" w:w="5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Raporlanabilir SEE’ye eklenmez</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AT-15</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Gübre dolaylı emisyon</w:t>
            </w:r>
          </w:p>
        </w:tc>
        <w:tc>
          <w:tcPr>
            <w:tcW w:type="dxa" w:w="5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Kural uyarınca direct+indirect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AT-16</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Negatif sonuç</w:t>
            </w:r>
          </w:p>
        </w:tc>
        <w:tc>
          <w:tcPr>
            <w:tcW w:type="dxa" w:w="5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Sertifika adedi 0; başka maldan mahsup yok</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AT-17</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Q1 2026 fiyatı</w:t>
            </w:r>
          </w:p>
        </w:tc>
        <w:tc>
          <w:tcPr>
            <w:tcW w:type="dxa" w:w="5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75,36 EUR kaynak/sürümle uygulanır</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AT-18</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Q2 2026 fiyatı</w:t>
            </w:r>
          </w:p>
        </w:tc>
        <w:tc>
          <w:tcPr>
            <w:tcW w:type="dxa" w:w="5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75,28 EUR kaynak/sürümle uygulanır</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AT-19</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Fiyat yok</w:t>
            </w:r>
          </w:p>
        </w:tc>
        <w:tc>
          <w:tcPr>
            <w:tcW w:type="dxa" w:w="5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Tahmin etiketi ve onay blokajı</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AT-20</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Karbon bedeli kanıtsız</w:t>
            </w:r>
          </w:p>
        </w:tc>
        <w:tc>
          <w:tcPr>
            <w:tcW w:type="dxa" w:w="5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Düşüm yapılmaz</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AT-21</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Beyan mutabakat farkı</w:t>
            </w:r>
          </w:p>
        </w:tc>
        <w:tc>
          <w:tcPr>
            <w:tcW w:type="dxa" w:w="5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NEEDS_RECONCILIATION</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AT-22</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Onay görev ayrılığı</w:t>
            </w:r>
          </w:p>
        </w:tc>
        <w:tc>
          <w:tcPr>
            <w:tcW w:type="dxa" w:w="5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Hazırlayan kendi son onayını veremez</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AT-23</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Tenant izolasyonu</w:t>
            </w:r>
          </w:p>
        </w:tc>
        <w:tc>
          <w:tcPr>
            <w:tcW w:type="dxa" w:w="5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Çapraz tenant erişimi 403 + security event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AT-24</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Snapshot yeniden üretim</w:t>
            </w:r>
          </w:p>
        </w:tc>
        <w:tc>
          <w:tcPr>
            <w:tcW w:type="dxa" w:w="5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Aynı hash/kural ile aynı sonuç</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AT-25</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Export manifest</w:t>
            </w:r>
          </w:p>
        </w:tc>
        <w:tc>
          <w:tcPr>
            <w:tcW w:type="dxa" w:w="5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Dosyalar, satırlar ve kanıt hash’leri tam</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AT-26</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100k satır import</w:t>
            </w:r>
          </w:p>
        </w:tc>
        <w:tc>
          <w:tcPr>
            <w:tcW w:type="dxa" w:w="5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SLA içinde job tamam; satır kaybı yok</w:t>
            </w:r>
          </w:p>
        </w:tc>
      </w:tr>
    </w:tbl>
    <w:p>
      <w:pPr>
        <w:spacing w:after="40"/>
      </w:pPr>
    </w:p>
    <w:p>
      <w:pPr>
        <w:pStyle w:val="Heading2"/>
        <w:keepNext/>
      </w:pPr>
      <w:r>
        <w:t>16.1 Definition of Done</w:t>
      </w:r>
    </w:p>
    <w:p>
      <w:pPr>
        <w:pStyle w:val="ListBullet"/>
        <w:spacing w:after="80" w:line="300" w:lineRule="auto"/>
        <w:ind w:left="540" w:hanging="271"/>
      </w:pPr>
      <w:r>
        <w:rPr>
          <w:rFonts w:ascii="Calibri" w:hAnsi="Calibri" w:eastAsia="Calibri"/>
          <w:color w:val="111111"/>
          <w:sz w:val="22"/>
        </w:rPr>
        <w:t>Fonksiyonel gereksinime bağlı kullanıcı hikâyesi ve kabul senaryosu tamamlandı.</w:t>
      </w:r>
    </w:p>
    <w:p>
      <w:pPr>
        <w:pStyle w:val="ListBullet"/>
        <w:spacing w:after="80" w:line="300" w:lineRule="auto"/>
        <w:ind w:left="540" w:hanging="271"/>
      </w:pPr>
      <w:r>
        <w:rPr>
          <w:rFonts w:ascii="Calibri" w:hAnsi="Calibri" w:eastAsia="Calibri"/>
          <w:color w:val="111111"/>
          <w:sz w:val="22"/>
        </w:rPr>
        <w:t>Unit, integration, contract, migration ve güvenlik testleri geçti.</w:t>
      </w:r>
    </w:p>
    <w:p>
      <w:pPr>
        <w:pStyle w:val="ListBullet"/>
        <w:spacing w:after="80" w:line="300" w:lineRule="auto"/>
        <w:ind w:left="540" w:hanging="271"/>
      </w:pPr>
      <w:r>
        <w:rPr>
          <w:rFonts w:ascii="Calibri" w:hAnsi="Calibri" w:eastAsia="Calibri"/>
          <w:color w:val="111111"/>
          <w:sz w:val="22"/>
        </w:rPr>
        <w:t>Kanonik CBAM vaka seti, beklenen sonuç ve hesap iziyle regresyona eklendi.</w:t>
      </w:r>
    </w:p>
    <w:p>
      <w:pPr>
        <w:pStyle w:val="ListBullet"/>
        <w:spacing w:after="80" w:line="300" w:lineRule="auto"/>
        <w:ind w:left="540" w:hanging="271"/>
      </w:pPr>
      <w:r>
        <w:rPr>
          <w:rFonts w:ascii="Calibri" w:hAnsi="Calibri" w:eastAsia="Calibri"/>
          <w:color w:val="111111"/>
          <w:sz w:val="22"/>
        </w:rPr>
        <w:t>Kural/veri/formül değişikliği CBAM uzmanı ve Tech Lead tarafından onaylandı.</w:t>
      </w:r>
    </w:p>
    <w:p>
      <w:pPr>
        <w:pStyle w:val="ListBullet"/>
        <w:spacing w:after="80" w:line="300" w:lineRule="auto"/>
        <w:ind w:left="540" w:hanging="271"/>
      </w:pPr>
      <w:r>
        <w:rPr>
          <w:rFonts w:ascii="Calibri" w:hAnsi="Calibri" w:eastAsia="Calibri"/>
          <w:color w:val="111111"/>
          <w:sz w:val="22"/>
        </w:rPr>
        <w:t>Audit, yetki, hata, gözlemlenebilirlik ve işletim dokümanı güncellendi.</w:t>
      </w:r>
    </w:p>
    <w:p>
      <w:pPr>
        <w:pStyle w:val="ListBullet"/>
        <w:spacing w:after="80" w:line="300" w:lineRule="auto"/>
        <w:ind w:left="540" w:hanging="271"/>
      </w:pPr>
      <w:r>
        <w:rPr>
          <w:rFonts w:ascii="Calibri" w:hAnsi="Calibri" w:eastAsia="Calibri"/>
          <w:color w:val="111111"/>
          <w:sz w:val="22"/>
        </w:rPr>
        <w:t>UAT kanıtı, release note ve geri alma planı release kaydına bağlandı.</w:t>
      </w:r>
    </w:p>
    <w:p>
      <w:pPr>
        <w:pStyle w:val="Heading1"/>
        <w:keepNext/>
      </w:pPr>
      <w:r>
        <w:t>17. Sekiz Haftalık Geliştirme Programı</w:t>
      </w:r>
    </w:p>
    <w:p>
      <w:pPr>
        <w:keepNext w:val="0"/>
        <w:spacing w:before="0" w:after="120" w:line="300" w:lineRule="auto"/>
        <w:jc w:val="left"/>
      </w:pPr>
      <w:r>
        <w:rPr>
          <w:rFonts w:ascii="Calibri" w:hAnsi="Calibri" w:eastAsia="Calibri"/>
          <w:b w:val="0"/>
          <w:i w:val="0"/>
          <w:color w:val="111111"/>
          <w:sz w:val="22"/>
        </w:rPr>
        <w:t>Önerilen takvim 27 Temmuz 2026 Pazartesi başlar ve 18 Eylül 2026 Cuma günü tamamlanır. Çalışma beş günlük iterasyonlarla yürür; her cuma çalışan demo, test kanıtı ve kabul kapısı bulunur.</w:t>
      </w:r>
    </w:p>
    <w:p>
      <w:pPr>
        <w:pStyle w:val="Heading2"/>
        <w:keepNext/>
      </w:pPr>
      <w:r>
        <w:t>17.1 Haftalık Özet</w:t>
      </w:r>
    </w:p>
    <w:tbl>
      <w:tblPr>
        <w:tblStyle w:val="TableGrid"/>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900"/>
        <w:gridCol w:w="1700"/>
        <w:gridCol w:w="3000"/>
        <w:gridCol w:w="3760"/>
      </w:tblGrid>
      <w:tr>
        <w:trPr>
          <w:tblHeader w:val="true"/>
        </w:trPr>
        <w:tc>
          <w:tcPr>
            <w:tcW w:type="dxa" w:w="9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Hafta</w:t>
            </w:r>
          </w:p>
        </w:tc>
        <w:tc>
          <w:tcPr>
            <w:tcW w:type="dxa" w:w="17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Tarih</w:t>
            </w:r>
          </w:p>
        </w:tc>
        <w:tc>
          <w:tcPr>
            <w:tcW w:type="dxa" w:w="30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Tema</w:t>
            </w:r>
          </w:p>
        </w:tc>
        <w:tc>
          <w:tcPr>
            <w:tcW w:type="dxa" w:w="376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Ana teslimat</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1</w:t>
            </w:r>
          </w:p>
        </w:tc>
        <w:tc>
          <w:tcPr>
            <w:tcW w:type="dxa" w:w="1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27–31 Tem</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Keşif, mevzuat, mimari ve tasarım</w:t>
            </w:r>
          </w:p>
        </w:tc>
        <w:tc>
          <w:tcPr>
            <w:tcW w:type="dxa" w:w="37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Kapsam, rule register, ERD, ADR, backlog</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2</w:t>
            </w:r>
          </w:p>
        </w:tc>
        <w:tc>
          <w:tcPr>
            <w:tcW w:type="dxa" w:w="1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03–07 Ağu</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Kimlik, katalog, import ve kapsam</w:t>
            </w:r>
          </w:p>
        </w:tc>
        <w:tc>
          <w:tcPr>
            <w:tcW w:type="dxa" w:w="37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Scope engine + import alpha</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3</w:t>
            </w:r>
          </w:p>
        </w:tc>
        <w:tc>
          <w:tcPr>
            <w:tcW w:type="dxa" w:w="1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10–14 Ağu</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İthalat mutabakatı ve 50 ton eşiği</w:t>
            </w:r>
          </w:p>
        </w:tc>
        <w:tc>
          <w:tcPr>
            <w:tcW w:type="dxa" w:w="37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Threshold ledger + operations UI</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4</w:t>
            </w:r>
          </w:p>
        </w:tc>
        <w:tc>
          <w:tcPr>
            <w:tcW w:type="dxa" w:w="1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17–21 Ağu</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Tedarikçi, tesis, proses ve öncül</w:t>
            </w:r>
          </w:p>
        </w:tc>
        <w:tc>
          <w:tcPr>
            <w:tcW w:type="dxa" w:w="37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Supplier portal + emission inputs</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5</w:t>
            </w:r>
          </w:p>
        </w:tc>
        <w:tc>
          <w:tcPr>
            <w:tcW w:type="dxa" w:w="1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24–28 Ağu</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Emisyon, default ve doğrulama</w:t>
            </w:r>
          </w:p>
        </w:tc>
        <w:tc>
          <w:tcPr>
            <w:tcW w:type="dxa" w:w="37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Calculation + verification beta</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6</w:t>
            </w:r>
          </w:p>
        </w:tc>
        <w:tc>
          <w:tcPr>
            <w:tcW w:type="dxa" w:w="1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31 Ağu–04 Eyl</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Yükümlülük, fiyat ve mali etki</w:t>
            </w:r>
          </w:p>
        </w:tc>
        <w:tc>
          <w:tcPr>
            <w:tcW w:type="dxa" w:w="37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Liability engine + exposure UI</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7</w:t>
            </w:r>
          </w:p>
        </w:tc>
        <w:tc>
          <w:tcPr>
            <w:tcW w:type="dxa" w:w="1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07–11 Eyl</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Beyan, onay, export ve güvenlik</w:t>
            </w:r>
          </w:p>
        </w:tc>
        <w:tc>
          <w:tcPr>
            <w:tcW w:type="dxa" w:w="37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Declaration beta + release controls</w:t>
            </w:r>
          </w:p>
        </w:tc>
      </w:tr>
      <w:tr>
        <w:tc>
          <w:tcPr>
            <w:tcW w:type="dxa" w:w="9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8</w:t>
            </w:r>
          </w:p>
        </w:tc>
        <w:tc>
          <w:tcPr>
            <w:tcW w:type="dxa" w:w="1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14–18 Eyl</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Pilot, UAT, go-live ve hypercare</w:t>
            </w:r>
          </w:p>
        </w:tc>
        <w:tc>
          <w:tcPr>
            <w:tcW w:type="dxa" w:w="37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MVP v1.0 + devir paketi</w:t>
            </w:r>
          </w:p>
        </w:tc>
      </w:tr>
    </w:tbl>
    <w:p>
      <w:pPr>
        <w:spacing w:after="40"/>
      </w:pPr>
    </w:p>
    <w:p>
      <w:pPr>
        <w:pStyle w:val="Heading2"/>
        <w:keepNext/>
      </w:pPr>
      <w:r>
        <w:t>17.2 Günlük Çalışma Planı</w:t>
      </w:r>
    </w:p>
    <w:tbl>
      <w:tblPr>
        <w:tblStyle w:val="TableGrid"/>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700"/>
        <w:gridCol w:w="1300"/>
        <w:gridCol w:w="4020"/>
        <w:gridCol w:w="1850"/>
        <w:gridCol w:w="1490"/>
      </w:tblGrid>
      <w:tr>
        <w:trPr>
          <w:tblHeader w:val="true"/>
        </w:trPr>
        <w:tc>
          <w:tcPr>
            <w:tcW w:type="dxa" w:w="7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5"/>
              </w:rPr>
              <w:t>Gün</w:t>
            </w:r>
          </w:p>
        </w:tc>
        <w:tc>
          <w:tcPr>
            <w:tcW w:type="dxa" w:w="13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5"/>
              </w:rPr>
              <w:t>Tarih</w:t>
            </w:r>
          </w:p>
        </w:tc>
        <w:tc>
          <w:tcPr>
            <w:tcW w:type="dxa" w:w="402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5"/>
              </w:rPr>
              <w:t>Faaliyet</w:t>
            </w:r>
          </w:p>
        </w:tc>
        <w:tc>
          <w:tcPr>
            <w:tcW w:type="dxa" w:w="185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5"/>
              </w:rPr>
              <w:t>Sahip</w:t>
            </w:r>
          </w:p>
        </w:tc>
        <w:tc>
          <w:tcPr>
            <w:tcW w:type="dxa" w:w="149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5"/>
              </w:rPr>
              <w:t>Çıktı</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1.1</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27.07.2026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Kickoff, hedefler, pilot vaka ve başarı ölçütleri</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PO + BA + CBAM</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Onaylı kapsam</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1.2</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28.07.2026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Kesin dönem mevzuat haritası ve kural envanteri</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CBAM + BA</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Rule register</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1.3</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29.07.2026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Domain model, veri sözlüğü ve kanonik import şeması</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Tech Lead + Data</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ERD v0.1</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1.4</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30.07.2026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Mimari, tenant izolasyonu, güvenlik ve ortam kararı</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Tech Lead + DevOps</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ADR paketi</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1.5</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31.07.2026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Backlog, test stratejisi, wireframe ve Gate-1</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Tüm ekip</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Gate-1</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2.1</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03.08.2026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Tenant, kuruluş, kullanıcı, RBAC ve EORI servisleri</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Backend + Frontend</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Identity alpha</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2.2</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04.08.2026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Ürün/CN kataloğu ve tarihli Annex I kural modeli</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Backend + CBAM</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Catalog alpha</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2.3</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05.08.2026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Import staging, kolon eşleme ve satır validasyonu</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Data + Backend</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Import alpha</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2.4</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06.08.2026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Kapsam motoru: CN, menşe, prosedür ve gerekçe kodu</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Backend + CBAM</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Scope engine</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2.5</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07.08.2026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Kanonik kapsam testleri, demo ve Gate-2</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QA + Tüm ekip</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Gate-2</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3.1</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10.08.2026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MRN/kalem idempotency ve ERP–gümrük mutabakatı</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Backend + Data</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Import beta</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3.2</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11.08.2026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50 ton defteri ve beyan sahibi/yıl toplulaştırması</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Backend</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Threshold ledger</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3.3</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12.08.2026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Sipariş planı, eşik tahmini ve uyarı motoru</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Backend + Frontend</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Forecast alpha</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3.4</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13.08.2026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İthalat/ürün/eşik ekranları ve toplu düzeltme</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Frontend</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Operations UI</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3.5</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14.08.2026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Pilot ithalat yükü, performans ve Gate-3</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QA + Data + CBAM</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Gate-3</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4.1</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17.08.2026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Tedarikçi daveti, portal oturumu ve talep paketi</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Full-stack</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Portal alpha</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4.2</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18.08.2026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Operatör, tesis, proses, rota ve dönem formları</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Full-stack + Carbon</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Installation UI</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4.3</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19.08.2026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Yakıt, malzeme, elektrik, aktivite ve kanıt veri modeli</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Carbon + Backend</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Emission inputs</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4.4</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20.08.2026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Öncül zinciri, tesis eşleme ve miktar mutabakatı</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Backend + Carbon</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Precursor alpha</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4.5</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21.08.2026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Portal uçtan uca test, veri kalite kapısı ve Gate-4</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QA + Tüm ekip</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Gate-4</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5.1</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24.08.2026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Gerçek emisyon ve sektör bazlı direct/indirect motoru</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Carbon + Backend</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Actual engine</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5.2</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25.08.2026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Varsayılan değer, ülke/CN/rota ve mark-up kataloğu</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Backend + CBAM</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Default engine</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5.3</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26.08.2026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Doğrulayıcı, akreditasyon, rapor ve bulgu akışı</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Full-stack + CBAM</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Verification beta</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5.4</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27.08.2026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Hesap izi, birim dönüşümü ve açıklanabilir sonuç</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Backend + QA</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Trace viewer</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5.5</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28.08.2026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Kanonik hesap regresyonu, mevzuat UAT ve Gate-5</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QA + CBAM</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Gate-5</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6.1</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31.08.2026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Benchmark ve ücretsiz tahsis düzeltme motoru</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Backend + CBAM</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Free allocation</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6.2</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01.09.2026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Üçüncü ülke karbon bedeli kanıt ve adaptör modeli</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Backend + Finance</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Carbon price module</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6.3</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02.09.2026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Sertifika adedi, 2026 çeyrek fiyatı ve maliyet motoru</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Backend + Carbon</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Liability engine</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6.4</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03.09.2026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Maliyet dashboard, senaryo ve bütçe raporları</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Frontend + Finance</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Exposure UI</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6.5</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04.09.2026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Finans UAT, hesap mutabakatı ve Gate-6</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QA + Finance + CBAM</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Gate-6</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7.1</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07.09.2026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Yıllık beyan çalışma alanı ve readiness kapıları</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Full-stack + CBAM</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Declaration beta</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7.2</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08.09.2026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Onay workflow, görev ayrılığı ve immutable snapshot</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Backend + Frontend</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Approval flow</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7.3</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09.09.2026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CSV/XLSX/JSON dışa aktarım ve kanıt manifesti</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Backend + QA</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Export package</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7.4</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10.09.2026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Audit, bildirim, SLA, log/metric/trace ve runbook</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DevOps + Full-stack</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Operations beta</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7.5</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11.09.2026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Güvenlik, tenant izolasyonu, yük ve regresyon Gate-7</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QA + SecOps</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Gate-7</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8.1</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14.09.2026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Pilot veri migrasyonu, hata düzeltme ve release adayı</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Data + Dev + QA</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RC1</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8.2</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15.09.2026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Kullanıcı eğitimi, admin kılavuzu ve mevzuat UAT</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PO + CBAM + QA</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UAT sign-off</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8.3</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16.09.2026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Backup/restore, DR, izleme ve go-live provası</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DevOps + QA</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Go-live checklist</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8.4</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17.09.2026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Production yayını, smoke test ve kabul kanıtı</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Tüm ekip</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MVP v1.0</w:t>
            </w:r>
          </w:p>
        </w:tc>
      </w:tr>
      <w:tr>
        <w:tc>
          <w:tcPr>
            <w:tcW w:type="dxa" w:w="7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8.5</w:t>
            </w:r>
          </w:p>
        </w:tc>
        <w:tc>
          <w:tcPr>
            <w:tcW w:type="dxa" w:w="13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18.09.2026</w:t>
            </w:r>
          </w:p>
        </w:tc>
        <w:tc>
          <w:tcPr>
            <w:tcW w:type="dxa" w:w="402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Hypercare başlangıcı, KPI baz çizgisi ve kapanış</w:t>
            </w:r>
          </w:p>
        </w:tc>
        <w:tc>
          <w:tcPr>
            <w:tcW w:type="dxa" w:w="185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Tüm ekip</w:t>
            </w:r>
          </w:p>
        </w:tc>
        <w:tc>
          <w:tcPr>
            <w:tcW w:type="dxa" w:w="149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Gate-8</w:t>
            </w:r>
          </w:p>
        </w:tc>
      </w:tr>
    </w:tbl>
    <w:p>
      <w:pPr>
        <w:spacing w:after="40"/>
      </w:pPr>
    </w:p>
    <w:p>
      <w:pPr>
        <w:pStyle w:val="Heading2"/>
        <w:keepNext/>
      </w:pPr>
      <w:r>
        <w:t>17.3 Haftalık Kabul Kapıları</w:t>
      </w:r>
    </w:p>
    <w:tbl>
      <w:tblPr>
        <w:tblStyle w:val="TableGrid"/>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1300"/>
        <w:gridCol w:w="8060"/>
      </w:tblGrid>
      <w:tr>
        <w:trPr>
          <w:tblHeader w:val="true"/>
        </w:trPr>
        <w:tc>
          <w:tcPr>
            <w:tcW w:type="dxa" w:w="13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7"/>
              </w:rPr>
              <w:t>Gate</w:t>
            </w:r>
          </w:p>
        </w:tc>
        <w:tc>
          <w:tcPr>
            <w:tcW w:type="dxa" w:w="806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7"/>
              </w:rPr>
              <w:t>Geçiş ölçütü</w:t>
            </w:r>
          </w:p>
        </w:tc>
      </w:tr>
      <w:tr>
        <w:tc>
          <w:tcPr>
            <w:tcW w:type="dxa" w:w="1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Gate-1</w:t>
            </w:r>
          </w:p>
        </w:tc>
        <w:tc>
          <w:tcPr>
            <w:tcW w:type="dxa" w:w="8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Mevzuat haritası, MVP kapsamı, mimari ve kanonik veri sözleşmesi onaylı.</w:t>
            </w:r>
          </w:p>
        </w:tc>
      </w:tr>
      <w:tr>
        <w:tc>
          <w:tcPr>
            <w:tcW w:type="dxa" w:w="1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Gate-2</w:t>
            </w:r>
          </w:p>
        </w:tc>
        <w:tc>
          <w:tcPr>
            <w:tcW w:type="dxa" w:w="8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Kapsam motoru kanonik CN/menşe/prosedür vakalarında beklenen sonucu veriyor.</w:t>
            </w:r>
          </w:p>
        </w:tc>
      </w:tr>
      <w:tr>
        <w:tc>
          <w:tcPr>
            <w:tcW w:type="dxa" w:w="1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Gate-3</w:t>
            </w:r>
          </w:p>
        </w:tc>
        <w:tc>
          <w:tcPr>
            <w:tcW w:type="dxa" w:w="8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İthalat ve 50 ton defteri pilot yükte idempotent, mutabık ve performanslı.</w:t>
            </w:r>
          </w:p>
        </w:tc>
      </w:tr>
      <w:tr>
        <w:tc>
          <w:tcPr>
            <w:tcW w:type="dxa" w:w="1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Gate-4</w:t>
            </w:r>
          </w:p>
        </w:tc>
        <w:tc>
          <w:tcPr>
            <w:tcW w:type="dxa" w:w="8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Tedarikçi portalı tesis/proses/öncül/emisyon veri paketini uçtan uca topluyor.</w:t>
            </w:r>
          </w:p>
        </w:tc>
      </w:tr>
      <w:tr>
        <w:tc>
          <w:tcPr>
            <w:tcW w:type="dxa" w:w="1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Gate-5</w:t>
            </w:r>
          </w:p>
        </w:tc>
        <w:tc>
          <w:tcPr>
            <w:tcW w:type="dxa" w:w="8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Gerçek/default hesap ve doğrulama kapıları mevzuat UAT’den geçti.</w:t>
            </w:r>
          </w:p>
        </w:tc>
      </w:tr>
      <w:tr>
        <w:tc>
          <w:tcPr>
            <w:tcW w:type="dxa" w:w="1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Gate-6</w:t>
            </w:r>
          </w:p>
        </w:tc>
        <w:tc>
          <w:tcPr>
            <w:tcW w:type="dxa" w:w="8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Sertifika adedi ve maliyet modeli finans/CBAM uzmanı tarafından mutabık.</w:t>
            </w:r>
          </w:p>
        </w:tc>
      </w:tr>
      <w:tr>
        <w:tc>
          <w:tcPr>
            <w:tcW w:type="dxa" w:w="1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Gate-7</w:t>
            </w:r>
          </w:p>
        </w:tc>
        <w:tc>
          <w:tcPr>
            <w:tcW w:type="dxa" w:w="8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Beyan, snapshot, export, güvenlik ve operasyon kontrolleri release hazır.</w:t>
            </w:r>
          </w:p>
        </w:tc>
      </w:tr>
      <w:tr>
        <w:tc>
          <w:tcPr>
            <w:tcW w:type="dxa" w:w="1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Gate-8</w:t>
            </w:r>
          </w:p>
        </w:tc>
        <w:tc>
          <w:tcPr>
            <w:tcW w:type="dxa" w:w="8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Production smoke test, UAT, eğitim, runbook ve kabul tutanağı tamam.</w:t>
            </w:r>
          </w:p>
        </w:tc>
      </w:tr>
    </w:tbl>
    <w:p>
      <w:pPr>
        <w:spacing w:after="40"/>
      </w:pPr>
    </w:p>
    <w:p>
      <w:pPr>
        <w:pStyle w:val="Heading2"/>
        <w:keepNext/>
      </w:pPr>
      <w:r>
        <w:t>17.4 Sekiz Haftalık MVP Sonrası Backlog</w:t>
      </w:r>
    </w:p>
    <w:tbl>
      <w:tblPr>
        <w:tblStyle w:val="TableGrid"/>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1000"/>
        <w:gridCol w:w="6700"/>
        <w:gridCol w:w="1660"/>
      </w:tblGrid>
      <w:tr>
        <w:trPr>
          <w:tblHeader w:val="true"/>
        </w:trPr>
        <w:tc>
          <w:tcPr>
            <w:tcW w:type="dxa" w:w="10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ID</w:t>
            </w:r>
          </w:p>
        </w:tc>
        <w:tc>
          <w:tcPr>
            <w:tcW w:type="dxa" w:w="67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Backlog</w:t>
            </w:r>
          </w:p>
        </w:tc>
        <w:tc>
          <w:tcPr>
            <w:tcW w:type="dxa" w:w="166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Öncelik</w:t>
            </w:r>
          </w:p>
        </w:tc>
      </w:tr>
      <w:tr>
        <w:tc>
          <w:tcPr>
            <w:tcW w:type="dxa" w:w="10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P2-01</w:t>
            </w:r>
          </w:p>
        </w:tc>
        <w:tc>
          <w:tcPr>
            <w:tcW w:type="dxa" w:w="67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Resmî sicil teknik arayüzü yayımlandığında adapter ve conformance test</w:t>
            </w:r>
          </w:p>
        </w:tc>
        <w:tc>
          <w:tcPr>
            <w:tcW w:type="dxa" w:w="16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Yüksek</w:t>
            </w:r>
          </w:p>
        </w:tc>
      </w:tr>
      <w:tr>
        <w:tc>
          <w:tcPr>
            <w:tcW w:type="dxa" w:w="10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P2-02</w:t>
            </w:r>
          </w:p>
        </w:tc>
        <w:tc>
          <w:tcPr>
            <w:tcW w:type="dxa" w:w="67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SAP/Oracle ve gümrük müşaviri konektörleri</w:t>
            </w:r>
          </w:p>
        </w:tc>
        <w:tc>
          <w:tcPr>
            <w:tcW w:type="dxa" w:w="16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Yüksek</w:t>
            </w:r>
          </w:p>
        </w:tc>
      </w:tr>
      <w:tr>
        <w:tc>
          <w:tcPr>
            <w:tcW w:type="dxa" w:w="10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P2-03</w:t>
            </w:r>
          </w:p>
        </w:tc>
        <w:tc>
          <w:tcPr>
            <w:tcW w:type="dxa" w:w="67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O3CI veri paylaşımı ve operatör sicil yardımcı akışı</w:t>
            </w:r>
          </w:p>
        </w:tc>
        <w:tc>
          <w:tcPr>
            <w:tcW w:type="dxa" w:w="16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Yüksek</w:t>
            </w:r>
          </w:p>
        </w:tc>
      </w:tr>
      <w:tr>
        <w:tc>
          <w:tcPr>
            <w:tcW w:type="dxa" w:w="10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P2-04</w:t>
            </w:r>
          </w:p>
        </w:tc>
        <w:tc>
          <w:tcPr>
            <w:tcW w:type="dxa" w:w="67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Sertifika pozisyonu, satın alma teyidi ve ödeme mutabakatı</w:t>
            </w:r>
          </w:p>
        </w:tc>
        <w:tc>
          <w:tcPr>
            <w:tcW w:type="dxa" w:w="16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Yüksek</w:t>
            </w:r>
          </w:p>
        </w:tc>
      </w:tr>
      <w:tr>
        <w:tc>
          <w:tcPr>
            <w:tcW w:type="dxa" w:w="10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P2-05</w:t>
            </w:r>
          </w:p>
        </w:tc>
        <w:tc>
          <w:tcPr>
            <w:tcW w:type="dxa" w:w="67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Gelişmiş default–actual optimizasyon ve dekarbonizasyon senaryosu</w:t>
            </w:r>
          </w:p>
        </w:tc>
        <w:tc>
          <w:tcPr>
            <w:tcW w:type="dxa" w:w="16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Orta</w:t>
            </w:r>
          </w:p>
        </w:tc>
      </w:tr>
      <w:tr>
        <w:tc>
          <w:tcPr>
            <w:tcW w:type="dxa" w:w="10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P2-06</w:t>
            </w:r>
          </w:p>
        </w:tc>
        <w:tc>
          <w:tcPr>
            <w:tcW w:type="dxa" w:w="67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İnsan onaylı OCR ve kanıt alanı çıkarımı</w:t>
            </w:r>
          </w:p>
        </w:tc>
        <w:tc>
          <w:tcPr>
            <w:tcW w:type="dxa" w:w="16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Orta</w:t>
            </w:r>
          </w:p>
        </w:tc>
      </w:tr>
      <w:tr>
        <w:tc>
          <w:tcPr>
            <w:tcW w:type="dxa" w:w="10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P2-07</w:t>
            </w:r>
          </w:p>
        </w:tc>
        <w:tc>
          <w:tcPr>
            <w:tcW w:type="dxa" w:w="67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Tedarikçi performans skoru ve sözleşme eki otomasyonu</w:t>
            </w:r>
          </w:p>
        </w:tc>
        <w:tc>
          <w:tcPr>
            <w:tcW w:type="dxa" w:w="16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Orta</w:t>
            </w:r>
          </w:p>
        </w:tc>
      </w:tr>
      <w:tr>
        <w:tc>
          <w:tcPr>
            <w:tcW w:type="dxa" w:w="10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P2-08</w:t>
            </w:r>
          </w:p>
        </w:tc>
        <w:tc>
          <w:tcPr>
            <w:tcW w:type="dxa" w:w="67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Yeni downstream kapsamı yürürlüğe girerse impact migration</w:t>
            </w:r>
          </w:p>
        </w:tc>
        <w:tc>
          <w:tcPr>
            <w:tcW w:type="dxa" w:w="16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6"/>
              </w:rPr>
              <w:t>Regulatory watch</w:t>
            </w:r>
          </w:p>
        </w:tc>
      </w:tr>
    </w:tbl>
    <w:p>
      <w:pPr>
        <w:spacing w:after="40"/>
      </w:pPr>
    </w:p>
    <w:p>
      <w:pPr>
        <w:pStyle w:val="Heading1"/>
        <w:keepNext/>
      </w:pPr>
      <w:r>
        <w:t>18. RACI, Ekip ve Yönetişim</w:t>
      </w:r>
    </w:p>
    <w:tbl>
      <w:tblPr>
        <w:tblStyle w:val="TableGrid"/>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2100"/>
        <w:gridCol w:w="1400"/>
        <w:gridCol w:w="1500"/>
        <w:gridCol w:w="1500"/>
        <w:gridCol w:w="1500"/>
        <w:gridCol w:w="1360"/>
      </w:tblGrid>
      <w:tr>
        <w:trPr>
          <w:tblHeader w:val="true"/>
        </w:trPr>
        <w:tc>
          <w:tcPr>
            <w:tcW w:type="dxa" w:w="21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5"/>
              </w:rPr>
              <w:t>Faaliyet</w:t>
            </w:r>
          </w:p>
        </w:tc>
        <w:tc>
          <w:tcPr>
            <w:tcW w:type="dxa" w:w="14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5"/>
              </w:rPr>
              <w:t>Ürün Sahibi</w:t>
            </w:r>
          </w:p>
        </w:tc>
        <w:tc>
          <w:tcPr>
            <w:tcW w:type="dxa" w:w="15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5"/>
              </w:rPr>
              <w:t>CBAM Uzmanı</w:t>
            </w:r>
          </w:p>
        </w:tc>
        <w:tc>
          <w:tcPr>
            <w:tcW w:type="dxa" w:w="15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5"/>
              </w:rPr>
              <w:t>Teknoloji</w:t>
            </w:r>
          </w:p>
        </w:tc>
        <w:tc>
          <w:tcPr>
            <w:tcW w:type="dxa" w:w="15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5"/>
              </w:rPr>
              <w:t>QA/DevOps</w:t>
            </w:r>
          </w:p>
        </w:tc>
        <w:tc>
          <w:tcPr>
            <w:tcW w:type="dxa" w:w="136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5"/>
              </w:rPr>
              <w:t>İş Birimi</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Kapsam ve öncelik</w:t>
            </w:r>
          </w:p>
        </w:tc>
        <w:tc>
          <w:tcPr>
            <w:tcW w:type="dxa" w:w="14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w:t>
            </w:r>
          </w:p>
        </w:tc>
        <w:tc>
          <w:tcPr>
            <w:tcW w:type="dxa" w:w="15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C</w:t>
            </w:r>
          </w:p>
        </w:tc>
        <w:tc>
          <w:tcPr>
            <w:tcW w:type="dxa" w:w="15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R</w:t>
            </w:r>
          </w:p>
        </w:tc>
        <w:tc>
          <w:tcPr>
            <w:tcW w:type="dxa" w:w="15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C</w:t>
            </w:r>
          </w:p>
        </w:tc>
        <w:tc>
          <w:tcPr>
            <w:tcW w:type="dxa" w:w="13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C</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Mevzuat/kural</w:t>
            </w:r>
          </w:p>
        </w:tc>
        <w:tc>
          <w:tcPr>
            <w:tcW w:type="dxa" w:w="14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C</w:t>
            </w:r>
          </w:p>
        </w:tc>
        <w:tc>
          <w:tcPr>
            <w:tcW w:type="dxa" w:w="15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A/R</w:t>
            </w:r>
          </w:p>
        </w:tc>
        <w:tc>
          <w:tcPr>
            <w:tcW w:type="dxa" w:w="15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C</w:t>
            </w:r>
          </w:p>
        </w:tc>
        <w:tc>
          <w:tcPr>
            <w:tcW w:type="dxa" w:w="15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C</w:t>
            </w:r>
          </w:p>
        </w:tc>
        <w:tc>
          <w:tcPr>
            <w:tcW w:type="dxa" w:w="13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I</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Mimari ve güvenlik</w:t>
            </w:r>
          </w:p>
        </w:tc>
        <w:tc>
          <w:tcPr>
            <w:tcW w:type="dxa" w:w="14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I</w:t>
            </w:r>
          </w:p>
        </w:tc>
        <w:tc>
          <w:tcPr>
            <w:tcW w:type="dxa" w:w="15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C</w:t>
            </w:r>
          </w:p>
        </w:tc>
        <w:tc>
          <w:tcPr>
            <w:tcW w:type="dxa" w:w="15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A/R</w:t>
            </w:r>
          </w:p>
        </w:tc>
        <w:tc>
          <w:tcPr>
            <w:tcW w:type="dxa" w:w="15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R</w:t>
            </w:r>
          </w:p>
        </w:tc>
        <w:tc>
          <w:tcPr>
            <w:tcW w:type="dxa" w:w="13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I</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Veri sözleşmesi</w:t>
            </w:r>
          </w:p>
        </w:tc>
        <w:tc>
          <w:tcPr>
            <w:tcW w:type="dxa" w:w="14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w:t>
            </w:r>
          </w:p>
        </w:tc>
        <w:tc>
          <w:tcPr>
            <w:tcW w:type="dxa" w:w="15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C</w:t>
            </w:r>
          </w:p>
        </w:tc>
        <w:tc>
          <w:tcPr>
            <w:tcW w:type="dxa" w:w="15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R</w:t>
            </w:r>
          </w:p>
        </w:tc>
        <w:tc>
          <w:tcPr>
            <w:tcW w:type="dxa" w:w="15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C</w:t>
            </w:r>
          </w:p>
        </w:tc>
        <w:tc>
          <w:tcPr>
            <w:tcW w:type="dxa" w:w="13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R</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Emisyon/yükümlülük</w:t>
            </w:r>
          </w:p>
        </w:tc>
        <w:tc>
          <w:tcPr>
            <w:tcW w:type="dxa" w:w="14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C</w:t>
            </w:r>
          </w:p>
        </w:tc>
        <w:tc>
          <w:tcPr>
            <w:tcW w:type="dxa" w:w="15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w:t>
            </w:r>
          </w:p>
        </w:tc>
        <w:tc>
          <w:tcPr>
            <w:tcW w:type="dxa" w:w="15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R</w:t>
            </w:r>
          </w:p>
        </w:tc>
        <w:tc>
          <w:tcPr>
            <w:tcW w:type="dxa" w:w="15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R</w:t>
            </w:r>
          </w:p>
        </w:tc>
        <w:tc>
          <w:tcPr>
            <w:tcW w:type="dxa" w:w="13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C</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Tedarikçi operasyonu</w:t>
            </w:r>
          </w:p>
        </w:tc>
        <w:tc>
          <w:tcPr>
            <w:tcW w:type="dxa" w:w="14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w:t>
            </w:r>
          </w:p>
        </w:tc>
        <w:tc>
          <w:tcPr>
            <w:tcW w:type="dxa" w:w="15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C</w:t>
            </w:r>
          </w:p>
        </w:tc>
        <w:tc>
          <w:tcPr>
            <w:tcW w:type="dxa" w:w="15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C</w:t>
            </w:r>
          </w:p>
        </w:tc>
        <w:tc>
          <w:tcPr>
            <w:tcW w:type="dxa" w:w="15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I</w:t>
            </w:r>
          </w:p>
        </w:tc>
        <w:tc>
          <w:tcPr>
            <w:tcW w:type="dxa" w:w="13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R</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Test ve release</w:t>
            </w:r>
          </w:p>
        </w:tc>
        <w:tc>
          <w:tcPr>
            <w:tcW w:type="dxa" w:w="14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w:t>
            </w:r>
          </w:p>
        </w:tc>
        <w:tc>
          <w:tcPr>
            <w:tcW w:type="dxa" w:w="15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C</w:t>
            </w:r>
          </w:p>
        </w:tc>
        <w:tc>
          <w:tcPr>
            <w:tcW w:type="dxa" w:w="15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R</w:t>
            </w:r>
          </w:p>
        </w:tc>
        <w:tc>
          <w:tcPr>
            <w:tcW w:type="dxa" w:w="15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R</w:t>
            </w:r>
          </w:p>
        </w:tc>
        <w:tc>
          <w:tcPr>
            <w:tcW w:type="dxa" w:w="13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C</w:t>
            </w:r>
          </w:p>
        </w:tc>
      </w:tr>
      <w:tr>
        <w:tc>
          <w:tcPr>
            <w:tcW w:type="dxa" w:w="21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Production kabul</w:t>
            </w:r>
          </w:p>
        </w:tc>
        <w:tc>
          <w:tcPr>
            <w:tcW w:type="dxa" w:w="14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A</w:t>
            </w:r>
          </w:p>
        </w:tc>
        <w:tc>
          <w:tcPr>
            <w:tcW w:type="dxa" w:w="15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C</w:t>
            </w:r>
          </w:p>
        </w:tc>
        <w:tc>
          <w:tcPr>
            <w:tcW w:type="dxa" w:w="15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R</w:t>
            </w:r>
          </w:p>
        </w:tc>
        <w:tc>
          <w:tcPr>
            <w:tcW w:type="dxa" w:w="150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R</w:t>
            </w:r>
          </w:p>
        </w:tc>
        <w:tc>
          <w:tcPr>
            <w:tcW w:type="dxa" w:w="13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C</w:t>
            </w:r>
          </w:p>
        </w:tc>
      </w:tr>
    </w:tbl>
    <w:p>
      <w:pPr>
        <w:spacing w:after="40"/>
      </w:pPr>
    </w:p>
    <w:p>
      <w:pPr>
        <w:pStyle w:val="Heading2"/>
        <w:keepNext/>
      </w:pPr>
      <w:r>
        <w:t>18.1 Çekirdek Ekip</w:t>
      </w:r>
    </w:p>
    <w:p>
      <w:pPr>
        <w:pStyle w:val="ListBullet"/>
        <w:spacing w:after="80" w:line="300" w:lineRule="auto"/>
        <w:ind w:left="540" w:hanging="271"/>
      </w:pPr>
      <w:r>
        <w:rPr>
          <w:rFonts w:ascii="Calibri" w:hAnsi="Calibri" w:eastAsia="Calibri"/>
          <w:color w:val="111111"/>
          <w:sz w:val="22"/>
        </w:rPr>
        <w:t>1 Ürün Sahibi / Program Yöneticisi</w:t>
      </w:r>
    </w:p>
    <w:p>
      <w:pPr>
        <w:pStyle w:val="ListBullet"/>
        <w:spacing w:after="80" w:line="300" w:lineRule="auto"/>
        <w:ind w:left="540" w:hanging="271"/>
      </w:pPr>
      <w:r>
        <w:rPr>
          <w:rFonts w:ascii="Calibri" w:hAnsi="Calibri" w:eastAsia="Calibri"/>
          <w:color w:val="111111"/>
          <w:sz w:val="22"/>
        </w:rPr>
        <w:t>1 İş Analisti ve 1 CBAM konu uzmanı</w:t>
      </w:r>
    </w:p>
    <w:p>
      <w:pPr>
        <w:pStyle w:val="ListBullet"/>
        <w:spacing w:after="80" w:line="300" w:lineRule="auto"/>
        <w:ind w:left="540" w:hanging="271"/>
      </w:pPr>
      <w:r>
        <w:rPr>
          <w:rFonts w:ascii="Calibri" w:hAnsi="Calibri" w:eastAsia="Calibri"/>
          <w:color w:val="111111"/>
          <w:sz w:val="22"/>
        </w:rPr>
        <w:t>1 Tech Lead, 2 Backend, 2 Frontend/Full-stack geliştirici</w:t>
      </w:r>
    </w:p>
    <w:p>
      <w:pPr>
        <w:pStyle w:val="ListBullet"/>
        <w:spacing w:after="80" w:line="300" w:lineRule="auto"/>
        <w:ind w:left="540" w:hanging="271"/>
      </w:pPr>
      <w:r>
        <w:rPr>
          <w:rFonts w:ascii="Calibri" w:hAnsi="Calibri" w:eastAsia="Calibri"/>
          <w:color w:val="111111"/>
          <w:sz w:val="22"/>
        </w:rPr>
        <w:t>1 Karbon/Data mühendisi ve 1 QA otomasyon uzmanı</w:t>
      </w:r>
    </w:p>
    <w:p>
      <w:pPr>
        <w:pStyle w:val="ListBullet"/>
        <w:spacing w:after="80" w:line="300" w:lineRule="auto"/>
        <w:ind w:left="540" w:hanging="271"/>
      </w:pPr>
      <w:r>
        <w:rPr>
          <w:rFonts w:ascii="Calibri" w:hAnsi="Calibri" w:eastAsia="Calibri"/>
          <w:color w:val="111111"/>
          <w:sz w:val="22"/>
        </w:rPr>
        <w:t>Part-time DevOps/SecOps ve gerektiğinde finans/gümrük uzmanı</w:t>
      </w:r>
    </w:p>
    <w:p>
      <w:pPr>
        <w:pStyle w:val="Heading2"/>
        <w:keepNext/>
      </w:pPr>
      <w:r>
        <w:t>18.2 Yönetişim Ritmi</w:t>
      </w:r>
    </w:p>
    <w:tbl>
      <w:tblPr>
        <w:tblStyle w:val="TableGrid"/>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2200"/>
        <w:gridCol w:w="1800"/>
        <w:gridCol w:w="2800"/>
        <w:gridCol w:w="2560"/>
      </w:tblGrid>
      <w:tr>
        <w:trPr>
          <w:tblHeader w:val="true"/>
        </w:trPr>
        <w:tc>
          <w:tcPr>
            <w:tcW w:type="dxa" w:w="22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Toplantı</w:t>
            </w:r>
          </w:p>
        </w:tc>
        <w:tc>
          <w:tcPr>
            <w:tcW w:type="dxa" w:w="18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Sıklık</w:t>
            </w:r>
          </w:p>
        </w:tc>
        <w:tc>
          <w:tcPr>
            <w:tcW w:type="dxa" w:w="28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Katılımcı</w:t>
            </w:r>
          </w:p>
        </w:tc>
        <w:tc>
          <w:tcPr>
            <w:tcW w:type="dxa" w:w="256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Çıktı</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Daily</w:t>
            </w:r>
          </w:p>
        </w:tc>
        <w:tc>
          <w:tcPr>
            <w:tcW w:type="dxa" w:w="1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Her iş günü 15 dk</w:t>
            </w:r>
          </w:p>
        </w:tc>
        <w:tc>
          <w:tcPr>
            <w:tcW w:type="dxa" w:w="2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Çekirdek ekip</w:t>
            </w:r>
          </w:p>
        </w:tc>
        <w:tc>
          <w:tcPr>
            <w:tcW w:type="dxa" w:w="25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Engel ve günlük taahhüt</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Backlog refinement</w:t>
            </w:r>
          </w:p>
        </w:tc>
        <w:tc>
          <w:tcPr>
            <w:tcW w:type="dxa" w:w="1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Haftada 2</w:t>
            </w:r>
          </w:p>
        </w:tc>
        <w:tc>
          <w:tcPr>
            <w:tcW w:type="dxa" w:w="2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PO, BA, Tech Lead, CBAM</w:t>
            </w:r>
          </w:p>
        </w:tc>
        <w:tc>
          <w:tcPr>
            <w:tcW w:type="dxa" w:w="25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Ready hikâyeler</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Mevzuat kurulu</w:t>
            </w:r>
          </w:p>
        </w:tc>
        <w:tc>
          <w:tcPr>
            <w:tcW w:type="dxa" w:w="1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Haftalık/değişiklikte</w:t>
            </w:r>
          </w:p>
        </w:tc>
        <w:tc>
          <w:tcPr>
            <w:tcW w:type="dxa" w:w="2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CBAM, PO, BA, Carbon</w:t>
            </w:r>
          </w:p>
        </w:tc>
        <w:tc>
          <w:tcPr>
            <w:tcW w:type="dxa" w:w="25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Kural sürümü</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Demo/kabul</w:t>
            </w:r>
          </w:p>
        </w:tc>
        <w:tc>
          <w:tcPr>
            <w:tcW w:type="dxa" w:w="1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Her cuma</w:t>
            </w:r>
          </w:p>
        </w:tc>
        <w:tc>
          <w:tcPr>
            <w:tcW w:type="dxa" w:w="2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Ekip + pilot kullanıcı</w:t>
            </w:r>
          </w:p>
        </w:tc>
        <w:tc>
          <w:tcPr>
            <w:tcW w:type="dxa" w:w="25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Gate kararı</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Güvenlik/release</w:t>
            </w:r>
          </w:p>
        </w:tc>
        <w:tc>
          <w:tcPr>
            <w:tcW w:type="dxa" w:w="1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Hafta 6–8</w:t>
            </w:r>
          </w:p>
        </w:tc>
        <w:tc>
          <w:tcPr>
            <w:tcW w:type="dxa" w:w="2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Tech Lead, QA, SecOps</w:t>
            </w:r>
          </w:p>
        </w:tc>
        <w:tc>
          <w:tcPr>
            <w:tcW w:type="dxa" w:w="25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Release risk kararı</w:t>
            </w:r>
          </w:p>
        </w:tc>
      </w:tr>
      <w:tr>
        <w:tc>
          <w:tcPr>
            <w:tcW w:type="dxa" w:w="22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Hypercare</w:t>
            </w:r>
          </w:p>
        </w:tc>
        <w:tc>
          <w:tcPr>
            <w:tcW w:type="dxa" w:w="1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Go-live sonrası günlük</w:t>
            </w:r>
          </w:p>
        </w:tc>
        <w:tc>
          <w:tcPr>
            <w:tcW w:type="dxa" w:w="2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Destek, Dev, 3E</w:t>
            </w:r>
          </w:p>
        </w:tc>
        <w:tc>
          <w:tcPr>
            <w:tcW w:type="dxa" w:w="25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Olay/düzeltme listesi</w:t>
            </w:r>
          </w:p>
        </w:tc>
      </w:tr>
    </w:tbl>
    <w:p>
      <w:pPr>
        <w:spacing w:after="40"/>
      </w:pPr>
    </w:p>
    <w:p>
      <w:pPr>
        <w:pStyle w:val="Heading1"/>
        <w:keepNext/>
      </w:pPr>
      <w:r>
        <w:t>19. DevOps, Yayına Alma ve Hypercare</w:t>
      </w:r>
    </w:p>
    <w:p>
      <w:pPr>
        <w:numPr>
          <w:ilvl w:val="0"/>
          <w:numId w:val="18"/>
        </w:numPr>
        <w:spacing w:after="80" w:line="300" w:lineRule="auto"/>
      </w:pPr>
      <w:r>
        <w:rPr>
          <w:rFonts w:ascii="Calibri" w:hAnsi="Calibri" w:eastAsia="Calibri"/>
          <w:color w:val="111111"/>
          <w:sz w:val="22"/>
        </w:rPr>
        <w:t>Kod, altyapı ve kural paketleri ayrı fakat ilişkilendirilmiş sürüm numarası taşır.</w:t>
      </w:r>
    </w:p>
    <w:p>
      <w:pPr>
        <w:numPr>
          <w:ilvl w:val="0"/>
          <w:numId w:val="18"/>
        </w:numPr>
        <w:spacing w:after="80" w:line="300" w:lineRule="auto"/>
      </w:pPr>
      <w:r>
        <w:rPr>
          <w:rFonts w:ascii="Calibri" w:hAnsi="Calibri" w:eastAsia="Calibri"/>
          <w:color w:val="111111"/>
          <w:sz w:val="22"/>
        </w:rPr>
        <w:t>Pull request, unit/integration/contract, tenant izolasyonu, SAST, dependency ve secret scan kapılarından geçer.</w:t>
      </w:r>
    </w:p>
    <w:p>
      <w:pPr>
        <w:numPr>
          <w:ilvl w:val="0"/>
          <w:numId w:val="18"/>
        </w:numPr>
        <w:spacing w:after="80" w:line="300" w:lineRule="auto"/>
      </w:pPr>
      <w:r>
        <w:rPr>
          <w:rFonts w:ascii="Calibri" w:hAnsi="Calibri" w:eastAsia="Calibri"/>
          <w:color w:val="111111"/>
          <w:sz w:val="22"/>
        </w:rPr>
        <w:t>Kural paketi RULE-SANDBOX ortamında kanonik mevzuat vakalarıyla doğrulanır.</w:t>
      </w:r>
    </w:p>
    <w:p>
      <w:pPr>
        <w:numPr>
          <w:ilvl w:val="0"/>
          <w:numId w:val="18"/>
        </w:numPr>
        <w:spacing w:after="80" w:line="300" w:lineRule="auto"/>
      </w:pPr>
      <w:r>
        <w:rPr>
          <w:rFonts w:ascii="Calibri" w:hAnsi="Calibri" w:eastAsia="Calibri"/>
          <w:color w:val="111111"/>
          <w:sz w:val="22"/>
        </w:rPr>
        <w:t>STAGING/UAT anonimleştirilmiş pilot veriyle; güvenlik, performans ve backup/restore kanıtıyla kapatılır.</w:t>
      </w:r>
    </w:p>
    <w:p>
      <w:pPr>
        <w:numPr>
          <w:ilvl w:val="0"/>
          <w:numId w:val="18"/>
        </w:numPr>
        <w:spacing w:after="80" w:line="300" w:lineRule="auto"/>
      </w:pPr>
      <w:r>
        <w:rPr>
          <w:rFonts w:ascii="Calibri" w:hAnsi="Calibri" w:eastAsia="Calibri"/>
          <w:color w:val="111111"/>
          <w:sz w:val="22"/>
        </w:rPr>
        <w:t>Production yayını feature flag, migration dry-run, rollback planı ve iki yetkili onayı gerektirir.</w:t>
      </w:r>
    </w:p>
    <w:p>
      <w:pPr>
        <w:numPr>
          <w:ilvl w:val="0"/>
          <w:numId w:val="18"/>
        </w:numPr>
        <w:spacing w:after="80" w:line="300" w:lineRule="auto"/>
      </w:pPr>
      <w:r>
        <w:rPr>
          <w:rFonts w:ascii="Calibri" w:hAnsi="Calibri" w:eastAsia="Calibri"/>
          <w:color w:val="111111"/>
          <w:sz w:val="22"/>
        </w:rPr>
        <w:t>Release sonrası sentetik kontroller, job alarmı, import kuyruğu ve kritik KPI’lar izlenir.</w:t>
      </w:r>
    </w:p>
    <w:p>
      <w:pPr>
        <w:pStyle w:val="Heading2"/>
        <w:keepNext/>
      </w:pPr>
      <w:r>
        <w:t>19.1 Ortamlar</w:t>
      </w:r>
    </w:p>
    <w:tbl>
      <w:tblPr>
        <w:tblStyle w:val="TableGrid"/>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1900"/>
        <w:gridCol w:w="3000"/>
        <w:gridCol w:w="4460"/>
      </w:tblGrid>
      <w:tr>
        <w:trPr>
          <w:tblHeader w:val="true"/>
        </w:trPr>
        <w:tc>
          <w:tcPr>
            <w:tcW w:type="dxa" w:w="19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7"/>
              </w:rPr>
              <w:t>Ortam</w:t>
            </w:r>
          </w:p>
        </w:tc>
        <w:tc>
          <w:tcPr>
            <w:tcW w:type="dxa" w:w="30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7"/>
              </w:rPr>
              <w:t>Amaç</w:t>
            </w:r>
          </w:p>
        </w:tc>
        <w:tc>
          <w:tcPr>
            <w:tcW w:type="dxa" w:w="446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7"/>
              </w:rPr>
              <w:t>Veri politikası</w:t>
            </w:r>
          </w:p>
        </w:tc>
      </w:tr>
      <w:tr>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DEV</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Geliştirici testi</w:t>
            </w:r>
          </w:p>
        </w:tc>
        <w:tc>
          <w:tcPr>
            <w:tcW w:type="dxa" w:w="4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Sentetik veri</w:t>
            </w:r>
          </w:p>
        </w:tc>
      </w:tr>
      <w:tr>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TEST</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Otomasyon/entegrasyon</w:t>
            </w:r>
          </w:p>
        </w:tc>
        <w:tc>
          <w:tcPr>
            <w:tcW w:type="dxa" w:w="4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Sentetik veya anonimleştirilmiş</w:t>
            </w:r>
          </w:p>
        </w:tc>
      </w:tr>
      <w:tr>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RULE-SANDBOX</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Mevzuat kural denemesi</w:t>
            </w:r>
          </w:p>
        </w:tc>
        <w:tc>
          <w:tcPr>
            <w:tcW w:type="dxa" w:w="4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Kanonik CBAM vakaları</w:t>
            </w:r>
          </w:p>
        </w:tc>
      </w:tr>
      <w:tr>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STAGING/UAT</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Pilot kabul/performance</w:t>
            </w:r>
          </w:p>
        </w:tc>
        <w:tc>
          <w:tcPr>
            <w:tcW w:type="dxa" w:w="4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Anonimleştirilmiş gerçekçi veri</w:t>
            </w:r>
          </w:p>
        </w:tc>
      </w:tr>
      <w:tr>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PRODUCTION</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Canlı hizmet</w:t>
            </w:r>
          </w:p>
        </w:tc>
        <w:tc>
          <w:tcPr>
            <w:tcW w:type="dxa" w:w="4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Şifreli gerçek veri; sıkı erişim</w:t>
            </w:r>
          </w:p>
        </w:tc>
      </w:tr>
      <w:tr>
        <w:tc>
          <w:tcPr>
            <w:tcW w:type="dxa" w:w="19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DR</w:t>
            </w:r>
          </w:p>
        </w:tc>
        <w:tc>
          <w:tcPr>
            <w:tcW w:type="dxa" w:w="30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Felaket kurtarma</w:t>
            </w:r>
          </w:p>
        </w:tc>
        <w:tc>
          <w:tcPr>
            <w:tcW w:type="dxa" w:w="44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7"/>
              </w:rPr>
              <w:t>Şifreli replika; periyodik tatbikat</w:t>
            </w:r>
          </w:p>
        </w:tc>
      </w:tr>
    </w:tbl>
    <w:p>
      <w:pPr>
        <w:spacing w:after="40"/>
      </w:pPr>
    </w:p>
    <w:p>
      <w:pPr>
        <w:pStyle w:val="Heading2"/>
        <w:keepNext/>
      </w:pPr>
      <w:r>
        <w:t>19.2 İlk 10 İş Günü Hypercare</w:t>
      </w:r>
    </w:p>
    <w:p>
      <w:pPr>
        <w:pStyle w:val="ListBullet"/>
        <w:spacing w:after="80" w:line="300" w:lineRule="auto"/>
        <w:ind w:left="540" w:hanging="271"/>
      </w:pPr>
      <w:r>
        <w:rPr>
          <w:rFonts w:ascii="Calibri" w:hAnsi="Calibri" w:eastAsia="Calibri"/>
          <w:color w:val="111111"/>
          <w:sz w:val="22"/>
        </w:rPr>
        <w:t>P1 olaylar için 30 dakika içinde triage; workaround ve kullanıcı iletişimi.</w:t>
      </w:r>
    </w:p>
    <w:p>
      <w:pPr>
        <w:pStyle w:val="ListBullet"/>
        <w:spacing w:after="80" w:line="300" w:lineRule="auto"/>
        <w:ind w:left="540" w:hanging="271"/>
      </w:pPr>
      <w:r>
        <w:rPr>
          <w:rFonts w:ascii="Calibri" w:hAnsi="Calibri" w:eastAsia="Calibri"/>
          <w:color w:val="111111"/>
          <w:sz w:val="22"/>
        </w:rPr>
        <w:t>Import, threshold, calculation, notification ve export job’ları günlük kontrol edilir.</w:t>
      </w:r>
    </w:p>
    <w:p>
      <w:pPr>
        <w:pStyle w:val="ListBullet"/>
        <w:spacing w:after="80" w:line="300" w:lineRule="auto"/>
        <w:ind w:left="540" w:hanging="271"/>
      </w:pPr>
      <w:r>
        <w:rPr>
          <w:rFonts w:ascii="Calibri" w:hAnsi="Calibri" w:eastAsia="Calibri"/>
          <w:color w:val="111111"/>
          <w:sz w:val="22"/>
        </w:rPr>
        <w:t>Kural hatası ile yazılım hatası ayrı etiketlenir; CBAM uzmanı kural sınıfında bulunur.</w:t>
      </w:r>
    </w:p>
    <w:p>
      <w:pPr>
        <w:pStyle w:val="ListBullet"/>
        <w:spacing w:after="80" w:line="300" w:lineRule="auto"/>
        <w:ind w:left="540" w:hanging="271"/>
      </w:pPr>
      <w:r>
        <w:rPr>
          <w:rFonts w:ascii="Calibri" w:hAnsi="Calibri" w:eastAsia="Calibri"/>
          <w:color w:val="111111"/>
          <w:sz w:val="22"/>
        </w:rPr>
        <w:t>Günlük veri kalite, açık blocker, sertifika ve maliyet özeti ürün sahibine sunulur.</w:t>
      </w:r>
    </w:p>
    <w:p>
      <w:pPr>
        <w:pStyle w:val="ListBullet"/>
        <w:spacing w:after="80" w:line="300" w:lineRule="auto"/>
        <w:ind w:left="540" w:hanging="271"/>
      </w:pPr>
      <w:r>
        <w:rPr>
          <w:rFonts w:ascii="Calibri" w:hAnsi="Calibri" w:eastAsia="Calibri"/>
          <w:color w:val="111111"/>
          <w:sz w:val="22"/>
        </w:rPr>
        <w:t>Düzeltmeler patch release ve change log ile yayınlanır; onaylı snapshot geriye dönük değiştirilmez.</w:t>
      </w:r>
    </w:p>
    <w:p>
      <w:pPr>
        <w:pStyle w:val="Heading1"/>
        <w:keepNext/>
      </w:pPr>
      <w:r>
        <w:t>20. Açık Kararlar ve Teslim Kontrolü</w:t>
      </w:r>
    </w:p>
    <w:tbl>
      <w:tblPr>
        <w:tblStyle w:val="TableGrid"/>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760"/>
        <w:gridCol w:w="2300"/>
        <w:gridCol w:w="3560"/>
        <w:gridCol w:w="1700"/>
        <w:gridCol w:w="1040"/>
      </w:tblGrid>
      <w:tr>
        <w:trPr>
          <w:tblHeader w:val="true"/>
        </w:trPr>
        <w:tc>
          <w:tcPr>
            <w:tcW w:type="dxa" w:w="76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5"/>
              </w:rPr>
              <w:t>ID</w:t>
            </w:r>
          </w:p>
        </w:tc>
        <w:tc>
          <w:tcPr>
            <w:tcW w:type="dxa" w:w="23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5"/>
              </w:rPr>
              <w:t>Karar</w:t>
            </w:r>
          </w:p>
        </w:tc>
        <w:tc>
          <w:tcPr>
            <w:tcW w:type="dxa" w:w="356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5"/>
              </w:rPr>
              <w:t>Önerilen yön</w:t>
            </w:r>
          </w:p>
        </w:tc>
        <w:tc>
          <w:tcPr>
            <w:tcW w:type="dxa" w:w="17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5"/>
              </w:rPr>
              <w:t>Sahip</w:t>
            </w:r>
          </w:p>
        </w:tc>
        <w:tc>
          <w:tcPr>
            <w:tcW w:type="dxa" w:w="104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5"/>
              </w:rPr>
              <w:t>Termin</w:t>
            </w:r>
          </w:p>
        </w:tc>
      </w:tr>
      <w:tr>
        <w:tc>
          <w:tcPr>
            <w:tcW w:type="dxa" w:w="7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D-01</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Bulut sağlayıcı/veri bölgesi</w:t>
            </w:r>
          </w:p>
        </w:tc>
        <w:tc>
          <w:tcPr>
            <w:tcW w:type="dxa" w:w="35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Türkiye/AB müşteri ve DPA gereksinimine göre</w:t>
            </w:r>
          </w:p>
        </w:tc>
        <w:tc>
          <w:tcPr>
            <w:tcW w:type="dxa" w:w="17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Teknoloji + hukuk</w:t>
            </w:r>
          </w:p>
        </w:tc>
        <w:tc>
          <w:tcPr>
            <w:tcW w:type="dxa" w:w="104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Hafta 1</w:t>
            </w:r>
          </w:p>
        </w:tc>
      </w:tr>
      <w:tr>
        <w:tc>
          <w:tcPr>
            <w:tcW w:type="dxa" w:w="7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D-02</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Backend çerçevesi</w:t>
            </w:r>
          </w:p>
        </w:tc>
        <w:tc>
          <w:tcPr>
            <w:tcW w:type="dxa" w:w="35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Ekip standardı; OpenAPI ve PostgreSQL değişmez</w:t>
            </w:r>
          </w:p>
        </w:tc>
        <w:tc>
          <w:tcPr>
            <w:tcW w:type="dxa" w:w="17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Tech Lead</w:t>
            </w:r>
          </w:p>
        </w:tc>
        <w:tc>
          <w:tcPr>
            <w:tcW w:type="dxa" w:w="104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Gün 1</w:t>
            </w:r>
          </w:p>
        </w:tc>
      </w:tr>
      <w:tr>
        <w:tc>
          <w:tcPr>
            <w:tcW w:type="dxa" w:w="7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D-03</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Kural ifade dili</w:t>
            </w:r>
          </w:p>
        </w:tc>
        <w:tc>
          <w:tcPr>
            <w:tcW w:type="dxa" w:w="35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Decision table/JSON Logic PoC</w:t>
            </w:r>
          </w:p>
        </w:tc>
        <w:tc>
          <w:tcPr>
            <w:tcW w:type="dxa" w:w="17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Tech Lead + CBAM</w:t>
            </w:r>
          </w:p>
        </w:tc>
        <w:tc>
          <w:tcPr>
            <w:tcW w:type="dxa" w:w="104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Gün 3</w:t>
            </w:r>
          </w:p>
        </w:tc>
      </w:tr>
      <w:tr>
        <w:tc>
          <w:tcPr>
            <w:tcW w:type="dxa" w:w="7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D-04</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Pilot veri seti</w:t>
            </w:r>
          </w:p>
        </w:tc>
        <w:tc>
          <w:tcPr>
            <w:tcW w:type="dxa" w:w="35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Anonimleştirilmiş 2026 ithalat ve tesis vakaları</w:t>
            </w:r>
          </w:p>
        </w:tc>
        <w:tc>
          <w:tcPr>
            <w:tcW w:type="dxa" w:w="17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Ürün + pilot</w:t>
            </w:r>
          </w:p>
        </w:tc>
        <w:tc>
          <w:tcPr>
            <w:tcW w:type="dxa" w:w="104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Hafta 1</w:t>
            </w:r>
          </w:p>
        </w:tc>
      </w:tr>
      <w:tr>
        <w:tc>
          <w:tcPr>
            <w:tcW w:type="dxa" w:w="7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D-05</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Resmî sicil formatı</w:t>
            </w:r>
          </w:p>
        </w:tc>
        <w:tc>
          <w:tcPr>
            <w:tcW w:type="dxa" w:w="35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Manuel kontrollü export; teknik arayüz watch</w:t>
            </w:r>
          </w:p>
        </w:tc>
        <w:tc>
          <w:tcPr>
            <w:tcW w:type="dxa" w:w="17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Entegrasyon</w:t>
            </w:r>
          </w:p>
        </w:tc>
        <w:tc>
          <w:tcPr>
            <w:tcW w:type="dxa" w:w="104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Hafta 7</w:t>
            </w:r>
          </w:p>
        </w:tc>
      </w:tr>
      <w:tr>
        <w:tc>
          <w:tcPr>
            <w:tcW w:type="dxa" w:w="7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D-06</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Saklama matrisi</w:t>
            </w:r>
          </w:p>
        </w:tc>
        <w:tc>
          <w:tcPr>
            <w:tcW w:type="dxa" w:w="35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Kayıt türü + ülke + tenant policy</w:t>
            </w:r>
          </w:p>
        </w:tc>
        <w:tc>
          <w:tcPr>
            <w:tcW w:type="dxa" w:w="17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Hukuk/uyum</w:t>
            </w:r>
          </w:p>
        </w:tc>
        <w:tc>
          <w:tcPr>
            <w:tcW w:type="dxa" w:w="104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Hafta 2</w:t>
            </w:r>
          </w:p>
        </w:tc>
      </w:tr>
      <w:tr>
        <w:tc>
          <w:tcPr>
            <w:tcW w:type="dxa" w:w="7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D-07</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Karbon bedeli adaptörü</w:t>
            </w:r>
          </w:p>
        </w:tc>
        <w:tc>
          <w:tcPr>
            <w:tcW w:type="dxa" w:w="35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Final uygulama metnine sürümlü plug-in</w:t>
            </w:r>
          </w:p>
        </w:tc>
        <w:tc>
          <w:tcPr>
            <w:tcW w:type="dxa" w:w="17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CBAM + Finans</w:t>
            </w:r>
          </w:p>
        </w:tc>
        <w:tc>
          <w:tcPr>
            <w:tcW w:type="dxa" w:w="104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Hafta 6</w:t>
            </w:r>
          </w:p>
        </w:tc>
      </w:tr>
      <w:tr>
        <w:tc>
          <w:tcPr>
            <w:tcW w:type="dxa" w:w="7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D-08</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Fiyat veri kaynağı</w:t>
            </w:r>
          </w:p>
        </w:tc>
        <w:tc>
          <w:tcPr>
            <w:tcW w:type="dxa" w:w="35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Resmî sayfa importu + iki göz onayı</w:t>
            </w:r>
          </w:p>
        </w:tc>
        <w:tc>
          <w:tcPr>
            <w:tcW w:type="dxa" w:w="17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Finans + Dev</w:t>
            </w:r>
          </w:p>
        </w:tc>
        <w:tc>
          <w:tcPr>
            <w:tcW w:type="dxa" w:w="104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Hafta 6</w:t>
            </w:r>
          </w:p>
        </w:tc>
      </w:tr>
      <w:tr>
        <w:tc>
          <w:tcPr>
            <w:tcW w:type="dxa" w:w="7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D-09</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E-posta altyapısı</w:t>
            </w:r>
          </w:p>
        </w:tc>
        <w:tc>
          <w:tcPr>
            <w:tcW w:type="dxa" w:w="35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Transactional provider + SPF/DKIM/DMARC</w:t>
            </w:r>
          </w:p>
        </w:tc>
        <w:tc>
          <w:tcPr>
            <w:tcW w:type="dxa" w:w="17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DevOps</w:t>
            </w:r>
          </w:p>
        </w:tc>
        <w:tc>
          <w:tcPr>
            <w:tcW w:type="dxa" w:w="104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Hafta 3</w:t>
            </w:r>
          </w:p>
        </w:tc>
      </w:tr>
      <w:tr>
        <w:tc>
          <w:tcPr>
            <w:tcW w:type="dxa" w:w="76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D-10</w:t>
            </w:r>
          </w:p>
        </w:tc>
        <w:tc>
          <w:tcPr>
            <w:tcW w:type="dxa" w:w="2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Harici doğrulayıcı erişimi</w:t>
            </w:r>
          </w:p>
        </w:tc>
        <w:tc>
          <w:tcPr>
            <w:tcW w:type="dxa" w:w="35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MVP’de belge/metadata; portal erişimi Faz 2</w:t>
            </w:r>
          </w:p>
        </w:tc>
        <w:tc>
          <w:tcPr>
            <w:tcW w:type="dxa" w:w="17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5"/>
              </w:rPr>
              <w:t>Ürün + güvenlik</w:t>
            </w:r>
          </w:p>
        </w:tc>
        <w:tc>
          <w:tcPr>
            <w:tcW w:type="dxa" w:w="1040"/>
            <w:tcMar>
              <w:top w:w="80" w:type="dxa"/>
              <w:start w:w="120" w:type="dxa"/>
              <w:bottom w:w="80" w:type="dxa"/>
              <w:end w:w="120" w:type="dxa"/>
            </w:tcMar>
            <w:vAlign w:val="center"/>
          </w:tcPr>
          <w:p>
            <w:pPr>
              <w:spacing w:before="0" w:after="30" w:line="252" w:lineRule="auto"/>
              <w:jc w:val="center"/>
            </w:pPr>
            <w:r>
              <w:rPr>
                <w:rFonts w:ascii="Calibri" w:hAnsi="Calibri" w:eastAsia="Calibri"/>
                <w:b w:val="0"/>
                <w:color w:val="111111"/>
                <w:sz w:val="15"/>
              </w:rPr>
              <w:t>Hafta 5</w:t>
            </w:r>
          </w:p>
        </w:tc>
      </w:tr>
    </w:tbl>
    <w:p>
      <w:pPr>
        <w:spacing w:after="40"/>
      </w:pPr>
    </w:p>
    <w:p>
      <w:pPr>
        <w:pStyle w:val="Heading2"/>
        <w:keepNext/>
      </w:pPr>
      <w:r>
        <w:t>20.1 Yazılımcıya Teslim Kontrol Listesi</w:t>
      </w:r>
    </w:p>
    <w:p>
      <w:pPr>
        <w:keepNext w:val="0"/>
        <w:spacing w:before="0" w:after="70" w:line="300" w:lineRule="auto"/>
        <w:jc w:val="left"/>
      </w:pPr>
      <w:r>
        <w:rPr>
          <w:rFonts w:ascii="Calibri" w:hAnsi="Calibri" w:eastAsia="Calibri"/>
          <w:b w:val="0"/>
          <w:i w:val="0"/>
          <w:color w:val="111111"/>
          <w:sz w:val="20"/>
        </w:rPr>
        <w:t>☐ Domain model ve ERD onaylandı.</w:t>
      </w:r>
    </w:p>
    <w:p>
      <w:pPr>
        <w:keepNext w:val="0"/>
        <w:spacing w:before="0" w:after="70" w:line="300" w:lineRule="auto"/>
        <w:jc w:val="left"/>
      </w:pPr>
      <w:r>
        <w:rPr>
          <w:rFonts w:ascii="Calibri" w:hAnsi="Calibri" w:eastAsia="Calibri"/>
          <w:b w:val="0"/>
          <w:i w:val="0"/>
          <w:color w:val="111111"/>
          <w:sz w:val="20"/>
        </w:rPr>
        <w:t>☐ OpenAPI sözleşmesi ve standart hata modeli yayımlandı.</w:t>
      </w:r>
    </w:p>
    <w:p>
      <w:pPr>
        <w:keepNext w:val="0"/>
        <w:spacing w:before="0" w:after="70" w:line="300" w:lineRule="auto"/>
        <w:jc w:val="left"/>
      </w:pPr>
      <w:r>
        <w:rPr>
          <w:rFonts w:ascii="Calibri" w:hAnsi="Calibri" w:eastAsia="Calibri"/>
          <w:b w:val="0"/>
          <w:i w:val="0"/>
          <w:color w:val="111111"/>
          <w:sz w:val="20"/>
        </w:rPr>
        <w:t>☐ Kural kataloğu decision table/JSON Logic PoC tamamlandı.</w:t>
      </w:r>
    </w:p>
    <w:p>
      <w:pPr>
        <w:keepNext w:val="0"/>
        <w:spacing w:before="0" w:after="70" w:line="300" w:lineRule="auto"/>
        <w:jc w:val="left"/>
      </w:pPr>
      <w:r>
        <w:rPr>
          <w:rFonts w:ascii="Calibri" w:hAnsi="Calibri" w:eastAsia="Calibri"/>
          <w:b w:val="0"/>
          <w:i w:val="0"/>
          <w:color w:val="111111"/>
          <w:sz w:val="20"/>
        </w:rPr>
        <w:t>☐ Kanonik CBAM test veri seti ve beklenen sonuçlar hazır.</w:t>
      </w:r>
    </w:p>
    <w:p>
      <w:pPr>
        <w:keepNext w:val="0"/>
        <w:spacing w:before="0" w:after="70" w:line="300" w:lineRule="auto"/>
        <w:jc w:val="left"/>
      </w:pPr>
      <w:r>
        <w:rPr>
          <w:rFonts w:ascii="Calibri" w:hAnsi="Calibri" w:eastAsia="Calibri"/>
          <w:b w:val="0"/>
          <w:i w:val="0"/>
          <w:color w:val="111111"/>
          <w:sz w:val="20"/>
        </w:rPr>
        <w:t>☐ Ürün/CN, ithalat ve 50 ton eşik örnek dosyaları hazır.</w:t>
      </w:r>
    </w:p>
    <w:p>
      <w:pPr>
        <w:keepNext w:val="0"/>
        <w:spacing w:before="0" w:after="70" w:line="300" w:lineRule="auto"/>
        <w:jc w:val="left"/>
      </w:pPr>
      <w:r>
        <w:rPr>
          <w:rFonts w:ascii="Calibri" w:hAnsi="Calibri" w:eastAsia="Calibri"/>
          <w:b w:val="0"/>
          <w:i w:val="0"/>
          <w:color w:val="111111"/>
          <w:sz w:val="20"/>
        </w:rPr>
        <w:t>☐ Gerçek/default emisyon ve doğrulama örnek paketleri hazır.</w:t>
      </w:r>
    </w:p>
    <w:p>
      <w:pPr>
        <w:keepNext w:val="0"/>
        <w:spacing w:before="0" w:after="70" w:line="300" w:lineRule="auto"/>
        <w:jc w:val="left"/>
      </w:pPr>
      <w:r>
        <w:rPr>
          <w:rFonts w:ascii="Calibri" w:hAnsi="Calibri" w:eastAsia="Calibri"/>
          <w:b w:val="0"/>
          <w:i w:val="0"/>
          <w:color w:val="111111"/>
          <w:sz w:val="20"/>
        </w:rPr>
        <w:t>☐ Benchmark, fiyat ve karbon bedeli veri sürümleme modeli hazır.</w:t>
      </w:r>
    </w:p>
    <w:p>
      <w:pPr>
        <w:keepNext w:val="0"/>
        <w:spacing w:before="0" w:after="70" w:line="300" w:lineRule="auto"/>
        <w:jc w:val="left"/>
      </w:pPr>
      <w:r>
        <w:rPr>
          <w:rFonts w:ascii="Calibri" w:hAnsi="Calibri" w:eastAsia="Calibri"/>
          <w:b w:val="0"/>
          <w:i w:val="0"/>
          <w:color w:val="111111"/>
          <w:sz w:val="20"/>
        </w:rPr>
        <w:t>☐ RBAC/ABAC ve tenant izolasyon matrisi hazır.</w:t>
      </w:r>
    </w:p>
    <w:p>
      <w:pPr>
        <w:keepNext w:val="0"/>
        <w:spacing w:before="0" w:after="70" w:line="300" w:lineRule="auto"/>
        <w:jc w:val="left"/>
      </w:pPr>
      <w:r>
        <w:rPr>
          <w:rFonts w:ascii="Calibri" w:hAnsi="Calibri" w:eastAsia="Calibri"/>
          <w:b w:val="0"/>
          <w:i w:val="0"/>
          <w:color w:val="111111"/>
          <w:sz w:val="20"/>
        </w:rPr>
        <w:t>☐ Audit, kanıt hash ve saklama politikası teknik tasarımı onaylandı.</w:t>
      </w:r>
    </w:p>
    <w:p>
      <w:pPr>
        <w:keepNext w:val="0"/>
        <w:spacing w:before="0" w:after="70" w:line="300" w:lineRule="auto"/>
        <w:jc w:val="left"/>
      </w:pPr>
      <w:r>
        <w:rPr>
          <w:rFonts w:ascii="Calibri" w:hAnsi="Calibri" w:eastAsia="Calibri"/>
          <w:b w:val="0"/>
          <w:i w:val="0"/>
          <w:color w:val="111111"/>
          <w:sz w:val="20"/>
        </w:rPr>
        <w:t>☐ MVP ekran wireframe’leri ve form alan sözlüğü tamamlandı.</w:t>
      </w:r>
    </w:p>
    <w:p>
      <w:pPr>
        <w:keepNext w:val="0"/>
        <w:spacing w:before="0" w:after="70" w:line="300" w:lineRule="auto"/>
        <w:jc w:val="left"/>
      </w:pPr>
      <w:r>
        <w:rPr>
          <w:rFonts w:ascii="Calibri" w:hAnsi="Calibri" w:eastAsia="Calibri"/>
          <w:b w:val="0"/>
          <w:i w:val="0"/>
          <w:color w:val="111111"/>
          <w:sz w:val="20"/>
        </w:rPr>
        <w:t>☐ Pilot kabul KPI’ları ve UAT planı onaylandı.</w:t>
      </w:r>
    </w:p>
    <w:p>
      <w:pPr>
        <w:keepNext w:val="0"/>
        <w:spacing w:before="0" w:after="70" w:line="300" w:lineRule="auto"/>
        <w:jc w:val="left"/>
      </w:pPr>
      <w:r>
        <w:rPr>
          <w:rFonts w:ascii="Calibri" w:hAnsi="Calibri" w:eastAsia="Calibri"/>
          <w:b w:val="0"/>
          <w:i w:val="0"/>
          <w:color w:val="111111"/>
          <w:sz w:val="20"/>
        </w:rPr>
        <w:t>☐ Production destek, yedekleme ve olay yönetimi runbook’u hazır.</w:t>
      </w:r>
    </w:p>
    <w:p>
      <w:pPr>
        <w:keepNext w:val="0"/>
        <w:spacing w:before="0" w:after="70" w:line="300" w:lineRule="auto"/>
        <w:jc w:val="left"/>
      </w:pPr>
      <w:r>
        <w:rPr>
          <w:rFonts w:ascii="Calibri" w:hAnsi="Calibri" w:eastAsia="Calibri"/>
          <w:b w:val="0"/>
          <w:i w:val="0"/>
          <w:color w:val="111111"/>
          <w:sz w:val="20"/>
        </w:rPr>
        <w:t>☐ Gate-1’den Gate-8’e kabul tutanakları release kaydına bağlandı.</w:t>
      </w:r>
    </w:p>
    <w:p>
      <w:pPr>
        <w:pStyle w:val="Heading1"/>
        <w:keepNext/>
      </w:pPr>
      <w:r>
        <w:t>Ek A. Örnek JSON Sözleşmeleri</w:t>
      </w:r>
    </w:p>
    <w:p>
      <w:pPr>
        <w:pStyle w:val="Heading2"/>
        <w:keepNext/>
      </w:pPr>
      <w:r>
        <w:t>A.1 Kapsam ve Eşik Değerlendirme İsteği</w:t>
      </w:r>
    </w:p>
    <w:tbl>
      <w:tblPr>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9360"/>
      </w:tblGrid>
      <w:tr>
        <w:trPr>
          <w:cantSplit/>
        </w:trPr>
        <w:tc>
          <w:tcPr>
            <w:tcW w:type="dxa" w:w="9360"/>
            <w:shd w:fill="F7F8FA"/>
            <w:tcMar>
              <w:top w:w="130" w:type="dxa"/>
              <w:start w:w="180" w:type="dxa"/>
              <w:bottom w:w="130" w:type="dxa"/>
              <w:end w:w="180" w:type="dxa"/>
            </w:tcMar>
            <w:vAlign w:val="center"/>
          </w:tcPr>
          <w:p>
            <w:pPr>
              <w:spacing w:after="0" w:line="240" w:lineRule="auto"/>
            </w:pPr>
            <w:r/>
            <w:r>
              <w:rPr>
                <w:rFonts w:ascii="Consolas" w:hAnsi="Consolas" w:eastAsia="Consolas"/>
                <w:color w:val="1F2937"/>
                <w:sz w:val="16"/>
              </w:rPr>
              <w:t>POST /api/v1/scope-evaluations</w:t>
              <w:br/>
              <w:t>{</w:t>
              <w:br/>
              <w:t xml:space="preserve">  "acceptance_date": "2026-08-14",</w:t>
              <w:br/>
              <w:t xml:space="preserve">  "declarant_id": "01J...",</w:t>
              <w:br/>
              <w:t xml:space="preserve">  "import_line": {</w:t>
              <w:br/>
              <w:t xml:space="preserve">    "mrn": "26DE...",</w:t>
              <w:br/>
              <w:t xml:space="preserve">    "line_no": 3,</w:t>
              <w:br/>
              <w:t xml:space="preserve">    "cn_code": "73181595",</w:t>
              <w:br/>
              <w:t xml:space="preserve">    "origin_country": "TR",</w:t>
              <w:br/>
              <w:t xml:space="preserve">    "customs_procedure": "40",</w:t>
              <w:br/>
              <w:t xml:space="preserve">    "net_mass": "12500.000",</w:t>
              <w:br/>
              <w:t xml:space="preserve">    "mass_unit": "kg"</w:t>
              <w:br/>
              <w:t xml:space="preserve">  },</w:t>
              <w:br/>
              <w:t xml:space="preserve">  "annual_plan_mass_t": "42.000"</w:t>
              <w:br/>
              <w:t>}</w:t>
            </w:r>
          </w:p>
        </w:tc>
      </w:tr>
    </w:tbl>
    <w:p>
      <w:pPr>
        <w:keepNext w:val="0"/>
        <w:spacing w:before="0" w:after="40" w:line="300" w:lineRule="auto"/>
        <w:jc w:val="left"/>
      </w:pPr>
      <w:r>
        <w:rPr>
          <w:rFonts w:ascii="Calibri" w:hAnsi="Calibri" w:eastAsia="Calibri"/>
          <w:b w:val="0"/>
          <w:i w:val="0"/>
          <w:color w:val="111111"/>
          <w:sz w:val="22"/>
        </w:rPr>
      </w:r>
    </w:p>
    <w:p>
      <w:pPr>
        <w:pStyle w:val="Heading2"/>
        <w:keepNext/>
      </w:pPr>
      <w:r>
        <w:t>A.2 Açıklanabilir Kapsam Sonucu</w:t>
      </w:r>
    </w:p>
    <w:tbl>
      <w:tblPr>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9360"/>
      </w:tblGrid>
      <w:tr>
        <w:trPr>
          <w:cantSplit/>
        </w:trPr>
        <w:tc>
          <w:tcPr>
            <w:tcW w:type="dxa" w:w="9360"/>
            <w:shd w:fill="F7F8FA"/>
            <w:tcMar>
              <w:top w:w="130" w:type="dxa"/>
              <w:start w:w="180" w:type="dxa"/>
              <w:bottom w:w="130" w:type="dxa"/>
              <w:end w:w="180" w:type="dxa"/>
            </w:tcMar>
            <w:vAlign w:val="center"/>
          </w:tcPr>
          <w:p>
            <w:pPr>
              <w:spacing w:after="0" w:line="240" w:lineRule="auto"/>
            </w:pPr>
            <w:r/>
            <w:r>
              <w:rPr>
                <w:rFonts w:ascii="Consolas" w:hAnsi="Consolas" w:eastAsia="Consolas"/>
                <w:color w:val="1F2937"/>
                <w:sz w:val="16"/>
              </w:rPr>
              <w:t>{</w:t>
              <w:br/>
              <w:t xml:space="preserve">  "evaluation_id": "01J...",</w:t>
              <w:br/>
              <w:t xml:space="preserve">  "scope_status": "IN_SCOPE",</w:t>
              <w:br/>
              <w:t xml:space="preserve">  "applicability": "THRESHOLD_REACHED_OR_FORESEEABLE",</w:t>
              <w:br/>
              <w:t xml:space="preserve">  "sector": "IRON_AND_STEEL",</w:t>
              <w:br/>
              <w:t xml:space="preserve">  "threshold": {</w:t>
              <w:br/>
              <w:t xml:space="preserve">    "realised_t": "18.700",</w:t>
              <w:br/>
              <w:t xml:space="preserve">    "projected_t": "60.700",</w:t>
              <w:br/>
              <w:t xml:space="preserve">    "limit_t": "50.000"</w:t>
              <w:br/>
              <w:t xml:space="preserve">  },</w:t>
              <w:br/>
              <w:t xml:space="preserve">  "reason_codes": ["CN_IN_ANNEX_I", "PROJECTED_THRESHOLD_EXCEEDED"],</w:t>
              <w:br/>
              <w:t xml:space="preserve">  "ruleset_version": "CBAM-2026.07",</w:t>
              <w:br/>
              <w:t xml:space="preserve">  "input_hash": "sha256..."</w:t>
              <w:br/>
              <w:t>}</w:t>
            </w:r>
          </w:p>
        </w:tc>
      </w:tr>
    </w:tbl>
    <w:p>
      <w:pPr>
        <w:keepNext w:val="0"/>
        <w:spacing w:before="0" w:after="40" w:line="300" w:lineRule="auto"/>
        <w:jc w:val="left"/>
      </w:pPr>
      <w:r>
        <w:rPr>
          <w:rFonts w:ascii="Calibri" w:hAnsi="Calibri" w:eastAsia="Calibri"/>
          <w:b w:val="0"/>
          <w:i w:val="0"/>
          <w:color w:val="111111"/>
          <w:sz w:val="22"/>
        </w:rPr>
      </w:r>
    </w:p>
    <w:p>
      <w:pPr>
        <w:pStyle w:val="Heading2"/>
        <w:keepNext/>
      </w:pPr>
      <w:r>
        <w:t>A.3 Emisyon Hesap Sonucu</w:t>
      </w:r>
    </w:p>
    <w:tbl>
      <w:tblPr>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9360"/>
      </w:tblGrid>
      <w:tr>
        <w:trPr>
          <w:cantSplit/>
        </w:trPr>
        <w:tc>
          <w:tcPr>
            <w:tcW w:type="dxa" w:w="9360"/>
            <w:shd w:fill="F7F8FA"/>
            <w:tcMar>
              <w:top w:w="130" w:type="dxa"/>
              <w:start w:w="180" w:type="dxa"/>
              <w:bottom w:w="130" w:type="dxa"/>
              <w:end w:w="180" w:type="dxa"/>
            </w:tcMar>
            <w:vAlign w:val="center"/>
          </w:tcPr>
          <w:p>
            <w:pPr>
              <w:spacing w:after="0" w:line="240" w:lineRule="auto"/>
            </w:pPr>
            <w:r/>
            <w:r>
              <w:rPr>
                <w:rFonts w:ascii="Consolas" w:hAnsi="Consolas" w:eastAsia="Consolas"/>
                <w:color w:val="1F2937"/>
                <w:sz w:val="16"/>
              </w:rPr>
              <w:t>{</w:t>
              <w:br/>
              <w:t xml:space="preserve">  "calculation_id": "01J...",</w:t>
              <w:br/>
              <w:t xml:space="preserve">  "method": "ACTUAL_VERIFIED",</w:t>
              <w:br/>
              <w:t xml:space="preserve">  "functional_unit": "t",</w:t>
              <w:br/>
              <w:t xml:space="preserve">  "quantity_fu": "12.500000",</w:t>
              <w:br/>
              <w:t xml:space="preserve">  "SEE_direct": "1.820000000",</w:t>
              <w:br/>
              <w:t xml:space="preserve">  "SEE_indirect": "0.210000000",</w:t>
              <w:br/>
              <w:t xml:space="preserve">  "reportable_SEE": "1.820000000",</w:t>
              <w:br/>
              <w:t xml:space="preserve">  "gross_embedded_tCO2e": "22.750000000",</w:t>
              <w:br/>
              <w:t xml:space="preserve">  "verification_report_id": "01J...",</w:t>
              <w:br/>
              <w:t xml:space="preserve">  "ruleset_version": "CBAM-2026.07",</w:t>
              <w:br/>
              <w:t xml:space="preserve">  "calculation_trace_id": "trc_..."</w:t>
              <w:br/>
              <w:t>}</w:t>
            </w:r>
          </w:p>
        </w:tc>
      </w:tr>
    </w:tbl>
    <w:p>
      <w:pPr>
        <w:keepNext w:val="0"/>
        <w:spacing w:before="0" w:after="40" w:line="300" w:lineRule="auto"/>
        <w:jc w:val="left"/>
      </w:pPr>
      <w:r>
        <w:rPr>
          <w:rFonts w:ascii="Calibri" w:hAnsi="Calibri" w:eastAsia="Calibri"/>
          <w:b w:val="0"/>
          <w:i w:val="0"/>
          <w:color w:val="111111"/>
          <w:sz w:val="22"/>
        </w:rPr>
      </w:r>
    </w:p>
    <w:p>
      <w:pPr>
        <w:pStyle w:val="Heading2"/>
        <w:keepNext/>
      </w:pPr>
      <w:r>
        <w:t>A.4 Yükümlülük ve Maliyet Sonucu</w:t>
      </w:r>
    </w:p>
    <w:tbl>
      <w:tblPr>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9360"/>
      </w:tblGrid>
      <w:tr>
        <w:trPr>
          <w:cantSplit/>
        </w:trPr>
        <w:tc>
          <w:tcPr>
            <w:tcW w:type="dxa" w:w="9360"/>
            <w:shd w:fill="F7F8FA"/>
            <w:tcMar>
              <w:top w:w="130" w:type="dxa"/>
              <w:start w:w="180" w:type="dxa"/>
              <w:bottom w:w="130" w:type="dxa"/>
              <w:end w:w="180" w:type="dxa"/>
            </w:tcMar>
            <w:vAlign w:val="center"/>
          </w:tcPr>
          <w:p>
            <w:pPr>
              <w:spacing w:after="0" w:line="240" w:lineRule="auto"/>
            </w:pPr>
            <w:r/>
            <w:r>
              <w:rPr>
                <w:rFonts w:ascii="Consolas" w:hAnsi="Consolas" w:eastAsia="Consolas"/>
                <w:color w:val="1F2937"/>
                <w:sz w:val="16"/>
              </w:rPr>
              <w:t>{</w:t>
              <w:br/>
              <w:t xml:space="preserve">  "liability_id": "01J...",</w:t>
              <w:br/>
              <w:t xml:space="preserve">  "import_quarter": "2026-Q2",</w:t>
              <w:br/>
              <w:t xml:space="preserve">  "gross_embedded_tCO2e": "22.750000000",</w:t>
              <w:br/>
              <w:t xml:space="preserve">  "free_allocation_adjustment": "18.000000000",</w:t>
              <w:br/>
              <w:t xml:space="preserve">  "foreign_carbon_equivalent": "0.500000000",</w:t>
              <w:br/>
              <w:t xml:space="preserve">  "certificates": "4.250000000",</w:t>
              <w:br/>
              <w:t xml:space="preserve">  "certificate_price_eur": "75.28",</w:t>
              <w:br/>
              <w:t xml:space="preserve">  "estimated_cost_eur": "319.94",</w:t>
              <w:br/>
              <w:t xml:space="preserve">  "price_source_version": "EC-2026-Q2",</w:t>
              <w:br/>
              <w:t xml:space="preserve">  "snapshot_hash": "sha256..."</w:t>
              <w:br/>
              <w:t>}</w:t>
            </w:r>
          </w:p>
        </w:tc>
      </w:tr>
    </w:tbl>
    <w:p>
      <w:pPr>
        <w:keepNext w:val="0"/>
        <w:spacing w:before="0" w:after="40" w:line="300" w:lineRule="auto"/>
        <w:jc w:val="left"/>
      </w:pPr>
      <w:r>
        <w:rPr>
          <w:rFonts w:ascii="Calibri" w:hAnsi="Calibri" w:eastAsia="Calibri"/>
          <w:b w:val="0"/>
          <w:i w:val="0"/>
          <w:color w:val="111111"/>
          <w:sz w:val="22"/>
        </w:rPr>
      </w:r>
    </w:p>
    <w:p>
      <w:pPr>
        <w:pStyle w:val="Heading2"/>
        <w:keepNext/>
      </w:pPr>
      <w:r>
        <w:t>A.5 Standart Hata Modeli</w:t>
      </w:r>
    </w:p>
    <w:tbl>
      <w:tblPr>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9360"/>
      </w:tblGrid>
      <w:tr>
        <w:trPr>
          <w:cantSplit/>
        </w:trPr>
        <w:tc>
          <w:tcPr>
            <w:tcW w:type="dxa" w:w="9360"/>
            <w:shd w:fill="F7F8FA"/>
            <w:tcMar>
              <w:top w:w="130" w:type="dxa"/>
              <w:start w:w="180" w:type="dxa"/>
              <w:bottom w:w="130" w:type="dxa"/>
              <w:end w:w="180" w:type="dxa"/>
            </w:tcMar>
            <w:vAlign w:val="center"/>
          </w:tcPr>
          <w:p>
            <w:pPr>
              <w:spacing w:after="0" w:line="240" w:lineRule="auto"/>
            </w:pPr>
            <w:r/>
            <w:r>
              <w:rPr>
                <w:rFonts w:ascii="Consolas" w:hAnsi="Consolas" w:eastAsia="Consolas"/>
                <w:color w:val="1F2937"/>
                <w:sz w:val="16"/>
              </w:rPr>
              <w:t>{</w:t>
              <w:br/>
              <w:t xml:space="preserve">  "error": {</w:t>
              <w:br/>
              <w:t xml:space="preserve">    "code": "CBAM-VER-004",</w:t>
              <w:br/>
              <w:t xml:space="preserve">    "message": "Doğrulama raporu geçerli değil.",</w:t>
              <w:br/>
              <w:t xml:space="preserve">    "details": [{"field": "accreditation_valid_to", "reason": "EXPIRED"}],</w:t>
              <w:br/>
              <w:t xml:space="preserve">    "correlation_id": "cor_...",</w:t>
              <w:br/>
              <w:t xml:space="preserve">    "retryable": false</w:t>
              <w:br/>
              <w:t xml:space="preserve">  }</w:t>
              <w:br/>
              <w:t>}</w:t>
            </w:r>
          </w:p>
        </w:tc>
      </w:tr>
    </w:tbl>
    <w:p>
      <w:pPr>
        <w:keepNext w:val="0"/>
        <w:spacing w:before="0" w:after="40" w:line="300" w:lineRule="auto"/>
        <w:jc w:val="left"/>
      </w:pPr>
      <w:r>
        <w:rPr>
          <w:rFonts w:ascii="Calibri" w:hAnsi="Calibri" w:eastAsia="Calibri"/>
          <w:b w:val="0"/>
          <w:i w:val="0"/>
          <w:color w:val="111111"/>
          <w:sz w:val="22"/>
        </w:rPr>
      </w:r>
    </w:p>
    <w:p>
      <w:pPr>
        <w:pStyle w:val="Heading1"/>
        <w:keepNext/>
      </w:pPr>
      <w:r>
        <w:t>Ek B. Durum ve Olay Kataloğu</w:t>
      </w:r>
    </w:p>
    <w:tbl>
      <w:tblPr>
        <w:tblStyle w:val="TableGrid"/>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1800"/>
        <w:gridCol w:w="4300"/>
        <w:gridCol w:w="3260"/>
      </w:tblGrid>
      <w:tr>
        <w:trPr>
          <w:tblHeader w:val="true"/>
        </w:trPr>
        <w:tc>
          <w:tcPr>
            <w:tcW w:type="dxa" w:w="18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Kod grubu</w:t>
            </w:r>
          </w:p>
        </w:tc>
        <w:tc>
          <w:tcPr>
            <w:tcW w:type="dxa" w:w="43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Örnek kodlar</w:t>
            </w:r>
          </w:p>
        </w:tc>
        <w:tc>
          <w:tcPr>
            <w:tcW w:type="dxa" w:w="326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Kullanım</w:t>
            </w:r>
          </w:p>
        </w:tc>
      </w:tr>
      <w:tr>
        <w:tc>
          <w:tcPr>
            <w:tcW w:type="dxa" w:w="1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Scope</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OUT_OF_SCOPE, IN_SCOPE, EXEMPT_ORIGIN</w:t>
            </w:r>
          </w:p>
        </w:tc>
        <w:tc>
          <w:tcPr>
            <w:tcW w:type="dxa" w:w="32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Kapsam sonucu</w:t>
            </w:r>
          </w:p>
        </w:tc>
      </w:tr>
      <w:tr>
        <w:tc>
          <w:tcPr>
            <w:tcW w:type="dxa" w:w="1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Threshold</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BELOW_THRESHOLD, FORESEEABLE, EXCEEDED</w:t>
            </w:r>
          </w:p>
        </w:tc>
        <w:tc>
          <w:tcPr>
            <w:tcW w:type="dxa" w:w="32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Yıllık eşik durumu</w:t>
            </w:r>
          </w:p>
        </w:tc>
      </w:tr>
      <w:tr>
        <w:tc>
          <w:tcPr>
            <w:tcW w:type="dxa" w:w="1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Data</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NEEDS_DATA, VALIDATING, VALID</w:t>
            </w:r>
          </w:p>
        </w:tc>
        <w:tc>
          <w:tcPr>
            <w:tcW w:type="dxa" w:w="32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Veri kalite kapısı</w:t>
            </w:r>
          </w:p>
        </w:tc>
      </w:tr>
      <w:tr>
        <w:tc>
          <w:tcPr>
            <w:tcW w:type="dxa" w:w="1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Emission</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ACTUAL_DRAFT, ACTUAL_VERIFIED, DEFAULT</w:t>
            </w:r>
          </w:p>
        </w:tc>
        <w:tc>
          <w:tcPr>
            <w:tcW w:type="dxa" w:w="32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Yöntem ve hesap</w:t>
            </w:r>
          </w:p>
        </w:tc>
      </w:tr>
      <w:tr>
        <w:tc>
          <w:tcPr>
            <w:tcW w:type="dxa" w:w="1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Verification</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PENDING, FINDINGS_OPEN, SATISFACTORY</w:t>
            </w:r>
          </w:p>
        </w:tc>
        <w:tc>
          <w:tcPr>
            <w:tcW w:type="dxa" w:w="32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Doğrulama durumu</w:t>
            </w:r>
          </w:p>
        </w:tc>
      </w:tr>
      <w:tr>
        <w:tc>
          <w:tcPr>
            <w:tcW w:type="dxa" w:w="1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Liability</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CALCULATED, NEEDS_REVIEW, APPROVED</w:t>
            </w:r>
          </w:p>
        </w:tc>
        <w:tc>
          <w:tcPr>
            <w:tcW w:type="dxa" w:w="32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Sertifika sonucu</w:t>
            </w:r>
          </w:p>
        </w:tc>
      </w:tr>
      <w:tr>
        <w:tc>
          <w:tcPr>
            <w:tcW w:type="dxa" w:w="1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Declaration</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DRAFT, RECONCILING, READY, EXPORTED</w:t>
            </w:r>
          </w:p>
        </w:tc>
        <w:tc>
          <w:tcPr>
            <w:tcW w:type="dxa" w:w="32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Yıllık dosya</w:t>
            </w:r>
          </w:p>
        </w:tc>
      </w:tr>
      <w:tr>
        <w:tc>
          <w:tcPr>
            <w:tcW w:type="dxa" w:w="18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Workflow</w:t>
            </w:r>
          </w:p>
        </w:tc>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OPEN, IN_PROGRESS, WAITING_EXTERNAL, CLOSED</w:t>
            </w:r>
          </w:p>
        </w:tc>
        <w:tc>
          <w:tcPr>
            <w:tcW w:type="dxa" w:w="32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Görev/SLA</w:t>
            </w:r>
          </w:p>
        </w:tc>
      </w:tr>
    </w:tbl>
    <w:p>
      <w:pPr>
        <w:spacing w:after="40"/>
      </w:pPr>
    </w:p>
    <w:p>
      <w:pPr>
        <w:pStyle w:val="Heading2"/>
        <w:keepNext/>
      </w:pPr>
      <w:r>
        <w:t>B.1 Webhook Olayları</w:t>
      </w:r>
    </w:p>
    <w:tbl>
      <w:tblPr>
        <w:tblStyle w:val="TableGrid"/>
        <w:tblW w:type="dxa" w:w="9360"/>
        <w:jc w:val="left"/>
        <w:tblLayout w:type="fixed"/>
        <w:tblLook w:firstColumn="1" w:firstRow="1" w:lastColumn="0" w:lastRow="0" w:noHBand="0" w:noVBand="1" w:val="04A0"/>
        <w:tblInd w:w="120" w:type="dxa"/>
        <w:tblBorders>
          <w:top w:val="single" w:sz="6" w:space="0" w:color="D0D5DD"/>
          <w:left w:val="single" w:sz="6" w:space="0" w:color="D0D5DD"/>
          <w:bottom w:val="single" w:sz="6" w:space="0" w:color="D0D5DD"/>
          <w:right w:val="single" w:sz="6" w:space="0" w:color="D0D5DD"/>
          <w:insideH w:val="single" w:sz="6" w:space="0" w:color="D0D5DD"/>
          <w:insideV w:val="single" w:sz="6" w:space="0" w:color="D0D5DD"/>
        </w:tblBorders>
      </w:tblPr>
      <w:tblGrid>
        <w:gridCol w:w="4300"/>
        <w:gridCol w:w="5060"/>
      </w:tblGrid>
      <w:tr>
        <w:trPr>
          <w:tblHeader w:val="true"/>
        </w:trPr>
        <w:tc>
          <w:tcPr>
            <w:tcW w:type="dxa" w:w="430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Event name</w:t>
            </w:r>
          </w:p>
        </w:tc>
        <w:tc>
          <w:tcPr>
            <w:tcW w:type="dxa" w:w="5060"/>
            <w:shd w:fill="E8EEF5"/>
            <w:tcMar>
              <w:top w:w="80" w:type="dxa"/>
              <w:start w:w="120" w:type="dxa"/>
              <w:bottom w:w="80" w:type="dxa"/>
              <w:end w:w="120" w:type="dxa"/>
            </w:tcMar>
            <w:vAlign w:val="center"/>
          </w:tcPr>
          <w:p>
            <w:pPr>
              <w:spacing w:before="0" w:after="30" w:line="252" w:lineRule="auto"/>
              <w:jc w:val="center"/>
            </w:pPr>
            <w:r>
              <w:rPr>
                <w:rFonts w:ascii="Calibri" w:hAnsi="Calibri" w:eastAsia="Calibri"/>
                <w:b/>
                <w:color w:val="0B2545"/>
                <w:sz w:val="16"/>
              </w:rPr>
              <w:t>Tetikleyici</w:t>
            </w:r>
          </w:p>
        </w:tc>
      </w:tr>
      <w:tr>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cbam.import.completed</w:t>
            </w:r>
          </w:p>
        </w:tc>
        <w:tc>
          <w:tcPr>
            <w:tcW w:type="dxa" w:w="5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İthalat batch’i işlendi</w:t>
            </w:r>
          </w:p>
        </w:tc>
      </w:tr>
      <w:tr>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cbam.scope.changed</w:t>
            </w:r>
          </w:p>
        </w:tc>
        <w:tc>
          <w:tcPr>
            <w:tcW w:type="dxa" w:w="5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Kapsam/eşik sonucu değişti</w:t>
            </w:r>
          </w:p>
        </w:tc>
      </w:tr>
      <w:tr>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cbam.threshold.foreseeable</w:t>
            </w:r>
          </w:p>
        </w:tc>
        <w:tc>
          <w:tcPr>
            <w:tcW w:type="dxa" w:w="5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Yıllık eşik aşımı öngörüldü</w:t>
            </w:r>
          </w:p>
        </w:tc>
      </w:tr>
      <w:tr>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cbam.supplier.request.overdue</w:t>
            </w:r>
          </w:p>
        </w:tc>
        <w:tc>
          <w:tcPr>
            <w:tcW w:type="dxa" w:w="5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SLA aşıldı</w:t>
            </w:r>
          </w:p>
        </w:tc>
      </w:tr>
      <w:tr>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cbam.emission.verified</w:t>
            </w:r>
          </w:p>
        </w:tc>
        <w:tc>
          <w:tcPr>
            <w:tcW w:type="dxa" w:w="5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Gerçek emisyon doğrulandı</w:t>
            </w:r>
          </w:p>
        </w:tc>
      </w:tr>
      <w:tr>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cbam.verification.finding.opened</w:t>
            </w:r>
          </w:p>
        </w:tc>
        <w:tc>
          <w:tcPr>
            <w:tcW w:type="dxa" w:w="5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Doğrulama bulgusu açıldı</w:t>
            </w:r>
          </w:p>
        </w:tc>
      </w:tr>
      <w:tr>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cbam.liability.calculated</w:t>
            </w:r>
          </w:p>
        </w:tc>
        <w:tc>
          <w:tcPr>
            <w:tcW w:type="dxa" w:w="5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Sertifika/maliyet sonucu oluştu</w:t>
            </w:r>
          </w:p>
        </w:tc>
      </w:tr>
      <w:tr>
        <w:tc>
          <w:tcPr>
            <w:tcW w:type="dxa" w:w="430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cbam.declaration.ready</w:t>
            </w:r>
          </w:p>
        </w:tc>
        <w:tc>
          <w:tcPr>
            <w:tcW w:type="dxa" w:w="5060"/>
            <w:tcMar>
              <w:top w:w="80" w:type="dxa"/>
              <w:start w:w="120" w:type="dxa"/>
              <w:bottom w:w="80" w:type="dxa"/>
              <w:end w:w="120" w:type="dxa"/>
            </w:tcMar>
            <w:vAlign w:val="center"/>
          </w:tcPr>
          <w:p>
            <w:pPr>
              <w:spacing w:before="0" w:after="30" w:line="252" w:lineRule="auto"/>
              <w:jc w:val="left"/>
            </w:pPr>
            <w:r>
              <w:rPr>
                <w:rFonts w:ascii="Calibri" w:hAnsi="Calibri" w:eastAsia="Calibri"/>
                <w:b w:val="0"/>
                <w:color w:val="111111"/>
                <w:sz w:val="16"/>
              </w:rPr>
              <w:t>Beyan dışa aktarım hazır</w:t>
            </w:r>
          </w:p>
        </w:tc>
      </w:tr>
    </w:tbl>
    <w:p>
      <w:pPr>
        <w:spacing w:after="40"/>
      </w:pPr>
    </w:p>
    <w:p>
      <w:pPr>
        <w:pStyle w:val="Heading1"/>
        <w:keepNext/>
      </w:pPr>
      <w:r>
        <w:t>Ek C. Resmî Kaynaklar</w:t>
      </w:r>
    </w:p>
    <w:tbl>
      <w:tblPr>
        <w:tblW w:type="dxa" w:w="9360"/>
        <w:jc w:val="left"/>
        <w:tblLayout w:type="fixed"/>
        <w:tblLook w:firstColumn="1" w:firstRow="1" w:lastColumn="0" w:lastRow="0" w:noHBand="0" w:noVBand="1" w:val="04A0"/>
        <w:tblInd w:w="120" w:type="dxa"/>
        <w:tblBorders>
          <w:top w:val="single" w:sz="8" w:space="0" w:color="B8C2CC"/>
          <w:left w:val="single" w:sz="8" w:space="0" w:color="B8C2CC"/>
          <w:bottom w:val="single" w:sz="8" w:space="0" w:color="B8C2CC"/>
          <w:right w:val="single" w:sz="8" w:space="0" w:color="B8C2CC"/>
          <w:insideH w:val="single" w:sz="8" w:space="0" w:color="B8C2CC"/>
          <w:insideV w:val="single" w:sz="8" w:space="0" w:color="B8C2CC"/>
        </w:tblBorders>
      </w:tblPr>
      <w:tblGrid>
        <w:gridCol w:w="9360"/>
      </w:tblGrid>
      <w:tr>
        <w:trPr>
          <w:cantSplit/>
        </w:trPr>
        <w:tc>
          <w:tcPr>
            <w:tcW w:type="dxa" w:w="9360"/>
            <w:shd w:fill="F4F6F9"/>
            <w:tcMar>
              <w:top w:w="140" w:type="dxa"/>
              <w:start w:w="180" w:type="dxa"/>
              <w:bottom w:w="140" w:type="dxa"/>
              <w:end w:w="180" w:type="dxa"/>
            </w:tcMar>
            <w:vAlign w:val="center"/>
          </w:tcPr>
          <w:p>
            <w:pPr>
              <w:spacing w:after="0" w:line="276" w:lineRule="auto"/>
            </w:pPr>
            <w:r/>
            <w:r>
              <w:rPr>
                <w:rFonts w:ascii="Calibri" w:hAnsi="Calibri" w:eastAsia="Calibri"/>
                <w:b/>
                <w:color w:val="0B2545"/>
                <w:sz w:val="20"/>
              </w:rPr>
              <w:t xml:space="preserve">Kaynak yönetimi: </w:t>
            </w:r>
            <w:r>
              <w:rPr>
                <w:rFonts w:ascii="Calibri" w:hAnsi="Calibri" w:eastAsia="Calibri"/>
                <w:color w:val="111111"/>
                <w:sz w:val="20"/>
              </w:rPr>
              <w:t>Aşağıdaki bağlantılar başlangıç mevzuat ve veri kataloğunun kaynaklarıdır. Üretim sisteminde her kural, varsayılan değer, benchmark ve fiyat; belge kimliği, yayın/yürürlük tarihi, erişim tarihi ve sürümle ilişkilendirilmelidir.</w:t>
            </w:r>
          </w:p>
        </w:tc>
      </w:tr>
    </w:tbl>
    <w:p>
      <w:pPr>
        <w:keepNext w:val="0"/>
        <w:spacing w:before="0" w:after="40" w:line="300" w:lineRule="auto"/>
        <w:jc w:val="left"/>
      </w:pPr>
      <w:r>
        <w:rPr>
          <w:rFonts w:ascii="Calibri" w:hAnsi="Calibri" w:eastAsia="Calibri"/>
          <w:b w:val="0"/>
          <w:i w:val="0"/>
          <w:color w:val="111111"/>
          <w:sz w:val="22"/>
        </w:rPr>
      </w:r>
    </w:p>
    <w:p>
      <w:pPr>
        <w:pStyle w:val="ListBullet"/>
        <w:spacing w:after="100"/>
        <w:ind w:left="540" w:hanging="271"/>
      </w:pPr>
      <w:hyperlink r:id="rId12">
        <w:r>
          <w:rPr>
            <w:color w:val="2E74B5"/>
            <w:u w:val="single"/>
            <w:rFonts w:ascii="Calibri" w:hAnsi="Calibri"/>
            <w:sz w:val="20"/>
          </w:rPr>
          <w:t>Regulation (EU) 2023/956 — CBAM temel düzenlemesi</w:t>
        </w:r>
      </w:hyperlink>
    </w:p>
    <w:p>
      <w:pPr>
        <w:pStyle w:val="ListBullet"/>
        <w:spacing w:after="100"/>
        <w:ind w:left="540" w:hanging="271"/>
      </w:pPr>
      <w:hyperlink r:id="rId13">
        <w:r>
          <w:rPr>
            <w:color w:val="2E74B5"/>
            <w:u w:val="single"/>
            <w:rFonts w:ascii="Calibri" w:hAnsi="Calibri"/>
            <w:sz w:val="20"/>
          </w:rPr>
          <w:t>Regulation (EU) 2025/2083 — CBAM sadeleştirme ve güçlendirme</w:t>
        </w:r>
      </w:hyperlink>
    </w:p>
    <w:p>
      <w:pPr>
        <w:pStyle w:val="ListBullet"/>
        <w:spacing w:after="100"/>
        <w:ind w:left="540" w:hanging="271"/>
      </w:pPr>
      <w:hyperlink r:id="rId14">
        <w:r>
          <w:rPr>
            <w:color w:val="2E74B5"/>
            <w:u w:val="single"/>
            <w:rFonts w:ascii="Calibri" w:hAnsi="Calibri"/>
            <w:sz w:val="20"/>
          </w:rPr>
          <w:t>European Commission — CBAM Legislation and Guidance</w:t>
        </w:r>
      </w:hyperlink>
    </w:p>
    <w:p>
      <w:pPr>
        <w:pStyle w:val="ListBullet"/>
        <w:spacing w:after="100"/>
        <w:ind w:left="540" w:hanging="271"/>
      </w:pPr>
      <w:hyperlink r:id="rId15">
        <w:r>
          <w:rPr>
            <w:color w:val="2E74B5"/>
            <w:u w:val="single"/>
            <w:rFonts w:ascii="Calibri" w:hAnsi="Calibri"/>
            <w:sz w:val="20"/>
          </w:rPr>
          <w:t>Commission Implementing Regulation (EU) 2025/2546 — verification principles</w:t>
        </w:r>
      </w:hyperlink>
    </w:p>
    <w:p>
      <w:pPr>
        <w:pStyle w:val="ListBullet"/>
        <w:spacing w:after="100"/>
        <w:ind w:left="540" w:hanging="271"/>
      </w:pPr>
      <w:hyperlink r:id="rId16">
        <w:r>
          <w:rPr>
            <w:color w:val="2E74B5"/>
            <w:u w:val="single"/>
            <w:rFonts w:ascii="Calibri" w:hAnsi="Calibri"/>
            <w:sz w:val="20"/>
          </w:rPr>
          <w:t>Commission Implementing Regulation (EU) 2025/2547 — embedded emissions calculation</w:t>
        </w:r>
      </w:hyperlink>
    </w:p>
    <w:p>
      <w:pPr>
        <w:pStyle w:val="ListBullet"/>
        <w:spacing w:after="100"/>
        <w:ind w:left="540" w:hanging="271"/>
      </w:pPr>
      <w:hyperlink r:id="rId17">
        <w:r>
          <w:rPr>
            <w:color w:val="2E74B5"/>
            <w:u w:val="single"/>
            <w:rFonts w:ascii="Calibri" w:hAnsi="Calibri"/>
            <w:sz w:val="20"/>
          </w:rPr>
          <w:t>Commission Implementing Regulation (EU) 2025/2548 — certificate price</w:t>
        </w:r>
      </w:hyperlink>
    </w:p>
    <w:p>
      <w:pPr>
        <w:pStyle w:val="ListBullet"/>
        <w:spacing w:after="100"/>
        <w:ind w:left="540" w:hanging="271"/>
      </w:pPr>
      <w:hyperlink r:id="rId18">
        <w:r>
          <w:rPr>
            <w:color w:val="2E74B5"/>
            <w:u w:val="single"/>
            <w:rFonts w:ascii="Calibri" w:hAnsi="Calibri"/>
            <w:sz w:val="20"/>
          </w:rPr>
          <w:t>Commission Implementing Regulation (EU) 2025/2619 — customs information</w:t>
        </w:r>
      </w:hyperlink>
    </w:p>
    <w:p>
      <w:pPr>
        <w:pStyle w:val="ListBullet"/>
        <w:spacing w:after="100"/>
        <w:ind w:left="540" w:hanging="271"/>
      </w:pPr>
      <w:hyperlink r:id="rId19">
        <w:r>
          <w:rPr>
            <w:color w:val="2E74B5"/>
            <w:u w:val="single"/>
            <w:rFonts w:ascii="Calibri" w:hAnsi="Calibri"/>
            <w:sz w:val="20"/>
          </w:rPr>
          <w:t>Commission Implementing Regulation (EU) 2025/2620 — free allocation adjustment</w:t>
        </w:r>
      </w:hyperlink>
    </w:p>
    <w:p>
      <w:pPr>
        <w:pStyle w:val="ListBullet"/>
        <w:spacing w:after="100"/>
        <w:ind w:left="540" w:hanging="271"/>
      </w:pPr>
      <w:hyperlink r:id="rId20">
        <w:r>
          <w:rPr>
            <w:color w:val="2E74B5"/>
            <w:u w:val="single"/>
            <w:rFonts w:ascii="Calibri" w:hAnsi="Calibri"/>
            <w:sz w:val="20"/>
          </w:rPr>
          <w:t>Commission Implementing Regulation (EU) 2025/2621 — definitive default values</w:t>
        </w:r>
      </w:hyperlink>
    </w:p>
    <w:p>
      <w:pPr>
        <w:pStyle w:val="ListBullet"/>
        <w:spacing w:after="100"/>
        <w:ind w:left="540" w:hanging="271"/>
      </w:pPr>
      <w:hyperlink r:id="rId21">
        <w:r>
          <w:rPr>
            <w:color w:val="2E74B5"/>
            <w:u w:val="single"/>
            <w:rFonts w:ascii="Calibri" w:hAnsi="Calibri"/>
            <w:sz w:val="20"/>
          </w:rPr>
          <w:t>Commission Delegated Regulation (EU) 2025/2551 — accreditation and verification</w:t>
        </w:r>
      </w:hyperlink>
    </w:p>
    <w:p>
      <w:pPr>
        <w:pStyle w:val="ListBullet"/>
        <w:spacing w:after="100"/>
        <w:ind w:left="540" w:hanging="271"/>
      </w:pPr>
      <w:hyperlink r:id="rId22">
        <w:r>
          <w:rPr>
            <w:color w:val="2E74B5"/>
            <w:u w:val="single"/>
            <w:rFonts w:ascii="Calibri" w:hAnsi="Calibri"/>
            <w:sz w:val="20"/>
          </w:rPr>
          <w:t>European Commission — CBAM Questions and Answers, May 2026</w:t>
        </w:r>
      </w:hyperlink>
    </w:p>
    <w:p>
      <w:pPr>
        <w:pStyle w:val="ListBullet"/>
        <w:spacing w:after="100"/>
        <w:ind w:left="540" w:hanging="271"/>
      </w:pPr>
      <w:hyperlink r:id="rId23">
        <w:r>
          <w:rPr>
            <w:color w:val="2E74B5"/>
            <w:u w:val="single"/>
            <w:rFonts w:ascii="Calibri" w:hAnsi="Calibri"/>
            <w:sz w:val="20"/>
          </w:rPr>
          <w:t>European Commission — CBAM Registry and Reporting</w:t>
        </w:r>
      </w:hyperlink>
    </w:p>
    <w:p>
      <w:pPr>
        <w:pStyle w:val="ListBullet"/>
        <w:spacing w:after="100"/>
        <w:ind w:left="540" w:hanging="271"/>
      </w:pPr>
      <w:hyperlink r:id="rId24">
        <w:r>
          <w:rPr>
            <w:color w:val="2E74B5"/>
            <w:u w:val="single"/>
            <w:rFonts w:ascii="Calibri" w:hAnsi="Calibri"/>
            <w:sz w:val="20"/>
          </w:rPr>
          <w:t>European Commission — Verification of CBAM emissions</w:t>
        </w:r>
      </w:hyperlink>
    </w:p>
    <w:p>
      <w:pPr>
        <w:pStyle w:val="ListBullet"/>
        <w:spacing w:after="100"/>
        <w:ind w:left="540" w:hanging="271"/>
      </w:pPr>
      <w:hyperlink r:id="rId25">
        <w:r>
          <w:rPr>
            <w:color w:val="2E74B5"/>
            <w:u w:val="single"/>
            <w:rFonts w:ascii="Calibri" w:hAnsi="Calibri"/>
            <w:sz w:val="20"/>
          </w:rPr>
          <w:t>European Commission — Price of CBAM certificates</w:t>
        </w:r>
      </w:hyperlink>
    </w:p>
    <w:p>
      <w:pPr>
        <w:keepNext w:val="0"/>
        <w:spacing w:before="120" w:after="120" w:line="300" w:lineRule="auto"/>
        <w:jc w:val="left"/>
      </w:pPr>
      <w:r>
        <w:rPr>
          <w:rFonts w:ascii="Calibri" w:hAnsi="Calibri" w:eastAsia="Calibri"/>
          <w:b w:val="0"/>
          <w:i/>
          <w:color w:val="667085"/>
          <w:sz w:val="19"/>
        </w:rPr>
        <w:t>Mevzuat ve kaynak erişim tarihi: 24 Temmuz 2026.</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rFonts w:ascii="Calibri" w:hAnsi="Calibri" w:eastAsia="Calibri"/>
        <w:color w:val="667085"/>
        <w:sz w:val="17"/>
      </w:rPr>
      <w:t xml:space="preserve">TASLAK • 24.07.2026  |  Sayfa </w:t>
    </w:r>
    <w:r>
      <w:rPr>
        <w:rFonts w:ascii="Calibri" w:hAnsi="Calibri" w:eastAsia="Calibri"/>
        <w:color w:val="667085"/>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eastAsia="Calibri"/>
        <w:b/>
        <w:color w:val="667085"/>
        <w:sz w:val="17"/>
      </w:rPr>
      <w:t>3E CBAM COMPLIANCE CLOUD  |  SİSTEM ANALİZİ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decimal"/>
      <w:lvlText w:val="%1."/>
      <w:lvlJc w:val="left"/>
      <w:pPr>
        <w:tabs>
          <w:tab w:val="num" w:pos="540"/>
        </w:tabs>
        <w:ind w:left="540" w:hanging="270"/>
      </w:pPr>
    </w:lvl>
  </w:abstractNum>
  <w:num w:numId="10">
    <w:abstractNumId w:val="9"/>
  </w:num>
  <w:abstractNum w:abstractNumId="10">
    <w:multiLevelType w:val="singleLevel"/>
    <w:lvl w:ilvl="0">
      <w:start w:val="1"/>
      <w:numFmt w:val="decimal"/>
      <w:lvlText w:val="%1."/>
      <w:lvlJc w:val="left"/>
      <w:pPr>
        <w:tabs>
          <w:tab w:val="num" w:pos="540"/>
        </w:tabs>
        <w:ind w:left="540" w:hanging="270"/>
      </w:pPr>
    </w:lvl>
  </w:abstractNum>
  <w:num w:numId="11">
    <w:abstractNumId w:val="10"/>
  </w:num>
  <w:abstractNum w:abstractNumId="11">
    <w:multiLevelType w:val="singleLevel"/>
    <w:lvl w:ilvl="0">
      <w:start w:val="1"/>
      <w:numFmt w:val="decimal"/>
      <w:lvlText w:val="%1."/>
      <w:lvlJc w:val="left"/>
      <w:pPr>
        <w:tabs>
          <w:tab w:val="num" w:pos="540"/>
        </w:tabs>
        <w:ind w:left="540" w:hanging="270"/>
      </w:pPr>
    </w:lvl>
  </w:abstractNum>
  <w:num w:numId="12">
    <w:abstractNumId w:val="11"/>
  </w:num>
  <w:abstractNum w:abstractNumId="12">
    <w:multiLevelType w:val="singleLevel"/>
    <w:lvl w:ilvl="0">
      <w:start w:val="1"/>
      <w:numFmt w:val="decimal"/>
      <w:lvlText w:val="%1."/>
      <w:lvlJc w:val="left"/>
      <w:pPr>
        <w:tabs>
          <w:tab w:val="num" w:pos="540"/>
        </w:tabs>
        <w:ind w:left="540" w:hanging="270"/>
      </w:pPr>
    </w:lvl>
  </w:abstractNum>
  <w:num w:numId="13">
    <w:abstractNumId w:val="12"/>
  </w:num>
  <w:abstractNum w:abstractNumId="13">
    <w:multiLevelType w:val="singleLevel"/>
    <w:lvl w:ilvl="0">
      <w:start w:val="1"/>
      <w:numFmt w:val="decimal"/>
      <w:lvlText w:val="%1."/>
      <w:lvlJc w:val="left"/>
      <w:pPr>
        <w:tabs>
          <w:tab w:val="num" w:pos="540"/>
        </w:tabs>
        <w:ind w:left="540" w:hanging="270"/>
      </w:pPr>
    </w:lvl>
  </w:abstractNum>
  <w:num w:numId="14">
    <w:abstractNumId w:val="13"/>
  </w:num>
  <w:abstractNum w:abstractNumId="14">
    <w:multiLevelType w:val="singleLevel"/>
    <w:lvl w:ilvl="0">
      <w:start w:val="1"/>
      <w:numFmt w:val="decimal"/>
      <w:lvlText w:val="%1."/>
      <w:lvlJc w:val="left"/>
      <w:pPr>
        <w:tabs>
          <w:tab w:val="num" w:pos="540"/>
        </w:tabs>
        <w:ind w:left="540" w:hanging="270"/>
      </w:pPr>
    </w:lvl>
  </w:abstractNum>
  <w:num w:numId="15">
    <w:abstractNumId w:val="14"/>
  </w:num>
  <w:abstractNum w:abstractNumId="15">
    <w:multiLevelType w:val="singleLevel"/>
    <w:lvl w:ilvl="0">
      <w:start w:val="1"/>
      <w:numFmt w:val="decimal"/>
      <w:lvlText w:val="%1."/>
      <w:lvlJc w:val="left"/>
      <w:pPr>
        <w:tabs>
          <w:tab w:val="num" w:pos="540"/>
        </w:tabs>
        <w:ind w:left="540" w:hanging="270"/>
      </w:pPr>
    </w:lvl>
  </w:abstractNum>
  <w:num w:numId="16">
    <w:abstractNumId w:val="15"/>
  </w:num>
  <w:abstractNum w:abstractNumId="16">
    <w:multiLevelType w:val="singleLevel"/>
    <w:lvl w:ilvl="0">
      <w:start w:val="1"/>
      <w:numFmt w:val="decimal"/>
      <w:lvlText w:val="%1."/>
      <w:lvlJc w:val="left"/>
      <w:pPr>
        <w:tabs>
          <w:tab w:val="num" w:pos="540"/>
        </w:tabs>
        <w:ind w:left="540" w:hanging="270"/>
      </w:pPr>
    </w:lvl>
  </w:abstractNum>
  <w:num w:numId="17">
    <w:abstractNumId w:val="16"/>
  </w:num>
  <w:abstractNum w:abstractNumId="17">
    <w:multiLevelType w:val="singleLevel"/>
    <w:lvl w:ilvl="0">
      <w:start w:val="1"/>
      <w:numFmt w:val="decimal"/>
      <w:lvlText w:val="%1."/>
      <w:lvlJc w:val="left"/>
      <w:pPr>
        <w:tabs>
          <w:tab w:val="num" w:pos="540"/>
        </w:tabs>
        <w:ind w:left="540" w:hanging="270"/>
      </w:pPr>
    </w:lvl>
  </w:abstract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line="240" w:lineRule="auto"/>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line="240" w:lineRule="auto"/>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line="240" w:lineRule="auto"/>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Calibri" w:hAnsi="Calibri"/>
      <w:b/>
      <w:color w:val="0B2545"/>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line="240" w:lineRule="auto"/>
    </w:pPr>
    <w:rPr>
      <w:rFonts w:asciiTheme="majorHAnsi" w:eastAsiaTheme="majorEastAsia" w:hAnsiTheme="majorHAnsi" w:cstheme="majorBidi" w:ascii="Calibri" w:hAnsi="Calibri"/>
      <w:b w:val="0"/>
      <w:i/>
      <w:iCs/>
      <w:color w:val="667085"/>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rPr>
      <w:rFonts w:ascii="Calibri" w:hAnsi="Calibri"/>
      <w:sz w:val="22"/>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rPr>
      <w:rFonts w:ascii="Calibri" w:hAnsi="Calibri"/>
      <w:sz w:val="22"/>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eur-lex.europa.eu/eli/reg/2023/956/oj/eng" TargetMode="External"/><Relationship Id="rId13" Type="http://schemas.openxmlformats.org/officeDocument/2006/relationships/hyperlink" Target="https://eur-lex.europa.eu/eli/reg/2025/2083/oj/eng" TargetMode="External"/><Relationship Id="rId14" Type="http://schemas.openxmlformats.org/officeDocument/2006/relationships/hyperlink" Target="https://taxation-customs.ec.europa.eu/carbon-border-adjustment-mechanism/cbam-legislation-and-guidance_en" TargetMode="External"/><Relationship Id="rId15" Type="http://schemas.openxmlformats.org/officeDocument/2006/relationships/hyperlink" Target="https://eur-lex.europa.eu/eli/reg_impl/2025/2546/oj/eng" TargetMode="External"/><Relationship Id="rId16" Type="http://schemas.openxmlformats.org/officeDocument/2006/relationships/hyperlink" Target="https://eur-lex.europa.eu/eli/reg_impl/2025/2547/oj/eng" TargetMode="External"/><Relationship Id="rId17" Type="http://schemas.openxmlformats.org/officeDocument/2006/relationships/hyperlink" Target="https://eur-lex.europa.eu/eli/reg_impl/2025/2548/oj/eng" TargetMode="External"/><Relationship Id="rId18" Type="http://schemas.openxmlformats.org/officeDocument/2006/relationships/hyperlink" Target="https://eur-lex.europa.eu/eli/reg_impl/2025/2619/oj/eng" TargetMode="External"/><Relationship Id="rId19" Type="http://schemas.openxmlformats.org/officeDocument/2006/relationships/hyperlink" Target="https://eur-lex.europa.eu/eli/reg_impl/2025/2620/oj/eng" TargetMode="External"/><Relationship Id="rId20" Type="http://schemas.openxmlformats.org/officeDocument/2006/relationships/hyperlink" Target="https://eur-lex.europa.eu/eli/reg_impl/2025/2621/oj/eng" TargetMode="External"/><Relationship Id="rId21" Type="http://schemas.openxmlformats.org/officeDocument/2006/relationships/hyperlink" Target="https://eur-lex.europa.eu/eli/reg_del/2025/2551/oj/eng" TargetMode="External"/><Relationship Id="rId22" Type="http://schemas.openxmlformats.org/officeDocument/2006/relationships/hyperlink" Target="https://taxation-customs.ec.europa.eu/document/download/013fa763-5dce-4726-a204-69fec04d5ce2_en?filename=CBAM_Questions+and+Answers.pdf" TargetMode="External"/><Relationship Id="rId23" Type="http://schemas.openxmlformats.org/officeDocument/2006/relationships/hyperlink" Target="https://taxation-customs.ec.europa.eu/carbon-border-adjustment-mechanism/cbam-registry-and-reporting_en" TargetMode="External"/><Relationship Id="rId24" Type="http://schemas.openxmlformats.org/officeDocument/2006/relationships/hyperlink" Target="https://taxation-customs.ec.europa.eu/carbon-border-adjustment-mechanism/cbam-verification_en" TargetMode="External"/><Relationship Id="rId25" Type="http://schemas.openxmlformats.org/officeDocument/2006/relationships/hyperlink" Target="https://taxation-customs.ec.europa.eu/carbon-border-adjustment-mechanism/price-cbam-certificate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3E CBAM Compliance Cloud — Sistem Analizi ve 8 Haftalık MVP Programı</dc:title>
  <dc:subject>CBAM yazılım ürün gereksinimi, algoritma ve geliştirme programı</dc:subject>
  <dc:creator>3E Group</dc:creator>
  <cp:keywords>CBAM, yazılım, sistem analizi, algoritma, emisyon, sertifika, 8 hafta</cp:keywords>
  <dc:description>Yazılımcıya teslim için hazırlanmış CBAM odaklı teknik doküman.</dc:description>
  <cp:lastModifiedBy/>
  <cp:revision>1</cp:revision>
  <dcterms:created xsi:type="dcterms:W3CDTF">2013-12-23T23:15:00Z</dcterms:created>
  <dcterms:modified xsi:type="dcterms:W3CDTF">2013-12-23T23:15:00Z</dcterms:modified>
  <cp:category/>
</cp:coreProperties>
</file>