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spacing w:after="200"/>
        <w:jc w:val="center"/>
      </w:pPr>
      <w:r>
        <w:rPr>
          <w:rFonts w:ascii="Calibri" w:hAnsi="Calibri" w:eastAsia="Calibri"/>
          <w:b/>
          <w:color w:val="B58A2A"/>
          <w:sz w:val="20"/>
        </w:rPr>
        <w:t>3E GROUP  •  TEKNOLOJİ VE DÖNÜŞÜM MİMARİSİ</w:t>
      </w:r>
    </w:p>
    <w:p>
      <w:pPr>
        <w:pStyle w:val="Title"/>
        <w:jc w:val="center"/>
      </w:pPr>
      <w:r>
        <w:t>3E Modeli Hizmet</w:t>
        <w:br/>
        <w:t>Orkestrasyon Platformu</w:t>
      </w:r>
    </w:p>
    <w:p>
      <w:pPr>
        <w:pStyle w:val="Subtitle"/>
        <w:jc w:val="center"/>
      </w:pPr>
      <w:r>
        <w:t>Yazılımcıya Yönelik Sistem Analizi, Yazılım Mimarisi ve Algoritma Tasarım Dosyası</w:t>
      </w:r>
    </w:p>
    <w:tbl>
      <w:tblPr>
        <w:tblStyle w:val="TableGrid"/>
        <w:tblW w:type="dxa" w:w="9360"/>
        <w:jc w:val="left"/>
        <w:tblLayout w:type="fixed"/>
        <w:tblLook w:firstColumn="1" w:firstRow="1" w:lastColumn="0" w:lastRow="0" w:noHBand="0" w:noVBand="1" w:val="04A0"/>
        <w:tblInd w:w="120" w:type="dxa"/>
        <w:tblBorders>
          <w:top w:val="single" w:sz="6" w:space="0" w:color="B58A2A"/>
          <w:left w:val="single" w:sz="6" w:space="0" w:color="B58A2A"/>
          <w:bottom w:val="single" w:sz="6" w:space="0" w:color="B58A2A"/>
          <w:right w:val="single" w:sz="6" w:space="0" w:color="B58A2A"/>
          <w:insideH w:val="single" w:sz="6" w:space="0" w:color="B58A2A"/>
          <w:insideV w:val="single" w:sz="6" w:space="0" w:color="B58A2A"/>
        </w:tblBorders>
      </w:tblPr>
      <w:tblGrid>
        <w:gridCol w:w="9360"/>
      </w:tblGrid>
      <w:tr>
        <w:trPr>
          <w:trHeight w:hRule="auto"/>
          <w:cantSplit/>
        </w:trPr>
        <w:tc>
          <w:tcPr>
            <w:tcW w:type="dxa" w:w="9360"/>
            <w:tcMar>
              <w:top w:w="140" w:type="dxa"/>
              <w:start w:w="180" w:type="dxa"/>
              <w:bottom w:w="140" w:type="dxa"/>
              <w:end w:w="180" w:type="dxa"/>
            </w:tcMar>
            <w:vAlign w:val="center"/>
            <w:shd w:fill="F8F1DF"/>
          </w:tcPr>
          <w:p>
            <w:pPr>
              <w:spacing w:after="60"/>
            </w:pPr>
            <w:r>
              <w:rPr>
                <w:rFonts w:ascii="Calibri" w:hAnsi="Calibri" w:eastAsia="Calibri"/>
                <w:b/>
                <w:color w:val="B58A2A"/>
                <w:sz w:val="18"/>
              </w:rPr>
              <w:t>ANA MIMARI KARARI</w:t>
            </w:r>
          </w:p>
          <w:p>
            <w:pPr>
              <w:spacing w:before="0" w:after="0" w:line="269" w:lineRule="auto"/>
            </w:pPr>
            <w:r>
              <w:rPr>
                <w:rFonts w:ascii="Calibri" w:hAnsi="Calibri" w:eastAsia="Calibri"/>
                <w:color w:val="1F2933"/>
                <w:sz w:val="20"/>
              </w:rPr>
              <w:t>Müşteri hangi hizmeti isterse istesin talep tek kapıdan alınır; 3E Modeli talep ile gerçek ihtiyacı ayırır, ortak veriyi bir kez toplar, gerekli uzmanlık modüllerini arka planda konuşturur ve işi doğru 3E markasına, uzmana ve iş akışına kontrollü biçimde dağıtır.</w:t>
            </w:r>
          </w:p>
        </w:tc>
      </w:tr>
    </w:tbl>
    <w:p>
      <w:pPr>
        <w:spacing w:after="20"/>
      </w:pP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100"/>
        <w:gridCol w:w="7260"/>
      </w:tblGrid>
      <w:tr>
        <w:trPr>
          <w:trHeight w:hRule="auto"/>
          <w:tblHeader w:val="true"/>
          <w:cantSplit/>
        </w:trPr>
        <w:tc>
          <w:tcPr>
            <w:tcW w:type="dxa" w:w="2100"/>
            <w:shd w:fill="17324D"/>
            <w:tcMar>
              <w:top w:w="80" w:type="dxa"/>
              <w:start w:w="120" w:type="dxa"/>
              <w:bottom w:w="80" w:type="dxa"/>
              <w:end w:w="120" w:type="dxa"/>
            </w:tcMar>
            <w:vAlign w:val="center"/>
          </w:tcPr>
          <w:p>
            <w:pPr>
              <w:spacing w:before="0" w:after="0" w:line="252" w:lineRule="auto"/>
            </w:pPr>
            <w:r/>
            <w:r>
              <w:rPr>
                <w:rFonts w:ascii="Calibri" w:hAnsi="Calibri" w:eastAsia="Calibri"/>
                <w:b/>
                <w:color w:val="FFFFFF"/>
                <w:sz w:val="18"/>
              </w:rPr>
              <w:t>Alan</w:t>
            </w:r>
          </w:p>
        </w:tc>
        <w:tc>
          <w:tcPr>
            <w:tcW w:type="dxa" w:w="7260"/>
            <w:shd w:fill="17324D"/>
            <w:tcMar>
              <w:top w:w="80" w:type="dxa"/>
              <w:start w:w="120" w:type="dxa"/>
              <w:bottom w:w="80" w:type="dxa"/>
              <w:end w:w="120" w:type="dxa"/>
            </w:tcMar>
            <w:vAlign w:val="center"/>
          </w:tcPr>
          <w:p>
            <w:pPr>
              <w:spacing w:before="0" w:after="0" w:line="252" w:lineRule="auto"/>
            </w:pPr>
            <w:r/>
            <w:r>
              <w:rPr>
                <w:rFonts w:ascii="Calibri" w:hAnsi="Calibri" w:eastAsia="Calibri"/>
                <w:b/>
                <w:color w:val="FFFFFF"/>
                <w:sz w:val="18"/>
              </w:rPr>
              <w:t>Değer</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Doküman</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Sistem Analizi ve Algoritma Tasarımı</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Sürüm</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v1.0</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Tarih</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24 Temmuz 2026</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Hedef kitle</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Ürün yöneticisi, yazılım mimarı, backend/frontend geliştirici, veri ve test ekipleri</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Çalışma adı</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3E Model Hub / 3E Hizmet Orkestrasyon Platformu</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Durum</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Geliştirme başlangıcı için esas analiz dosyası</w:t>
            </w:r>
          </w:p>
        </w:tc>
      </w:tr>
    </w:tbl>
    <w:p>
      <w:pPr>
        <w:spacing w:after="20"/>
      </w:pPr>
    </w:p>
    <w:p/>
    <w:p>
      <w:pPr>
        <w:jc w:val="center"/>
      </w:pPr>
      <w:r>
        <w:rPr>
          <w:rFonts w:ascii="Calibri" w:hAnsi="Calibri" w:eastAsia="Calibri"/>
          <w:i/>
          <w:color w:val="5F6B76"/>
          <w:sz w:val="19"/>
        </w:rPr>
        <w:t>Hazırlayan yaklaşım: 3E Modeli — “Bütünü gör, kritik bağlantıyı seç, gerekli unsurları birlikte dönüştür.”</w:t>
      </w:r>
    </w:p>
    <w:p>
      <w:r>
        <w:br w:type="page"/>
      </w:r>
    </w:p>
    <w:p>
      <w:pPr>
        <w:pStyle w:val="Heading1"/>
        <w:keepNext/>
        <w:keepLines/>
      </w:pPr>
      <w:r>
        <w:t>Doküman Kontrolü</w:t>
      </w:r>
    </w:p>
    <w:p>
      <w:pPr/>
      <w:r>
        <w:rPr>
          <w:rFonts w:ascii="Calibri" w:hAnsi="Calibri" w:eastAsia="Calibri"/>
          <w:i w:val="0"/>
          <w:color w:val="1F2933"/>
          <w:sz w:val="22"/>
        </w:rPr>
        <w:t>Bu dosya, 3E Modeli kitabı, 3E Uygulama ve Çalışma Kitabı, 3E Group Hizmet ve Marka Programı ile 2026–2028 Aksiyon Planındaki yöntem, marka ve teknoloji kararlarını tek yazılım mimarisinde birleştirir.</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1200"/>
        <w:gridCol w:w="1500"/>
        <w:gridCol w:w="4800"/>
        <w:gridCol w:w="1860"/>
      </w:tblGrid>
      <w:tr>
        <w:trPr>
          <w:trHeight w:hRule="auto"/>
          <w:tblHeader w:val="true"/>
          <w:cantSplit/>
        </w:trPr>
        <w:tc>
          <w:tcPr>
            <w:tcW w:type="dxa" w:w="12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Sürüm</w:t>
            </w:r>
          </w:p>
        </w:tc>
        <w:tc>
          <w:tcPr>
            <w:tcW w:type="dxa" w:w="15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Tarih</w:t>
            </w:r>
          </w:p>
        </w:tc>
        <w:tc>
          <w:tcPr>
            <w:tcW w:type="dxa" w:w="48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Değişiklik</w:t>
            </w:r>
          </w:p>
        </w:tc>
        <w:tc>
          <w:tcPr>
            <w:tcW w:type="dxa" w:w="186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Onay durumu</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v1.0</w:t>
            </w:r>
          </w:p>
        </w:tc>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24.07.2026</w:t>
            </w:r>
          </w:p>
        </w:tc>
        <w:tc>
          <w:tcPr>
            <w:tcW w:type="dxa" w:w="4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İlk bütünleşik sistem analizi ve geliştirici teslimi</w:t>
            </w:r>
          </w:p>
        </w:tc>
        <w:tc>
          <w:tcPr>
            <w:tcW w:type="dxa" w:w="1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Yönetim değerlendirmesine hazır</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v1.1</w:t>
            </w:r>
          </w:p>
        </w:tc>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Planlanan</w:t>
            </w:r>
          </w:p>
        </w:tc>
        <w:tc>
          <w:tcPr>
            <w:tcW w:type="dxa" w:w="4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Teknik yığın, ekran prototipleri ve entegrasyon önceliklerinin kesinleştirilmesi</w:t>
            </w:r>
          </w:p>
        </w:tc>
        <w:tc>
          <w:tcPr>
            <w:tcW w:type="dxa" w:w="1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Bekliyor</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v2.0</w:t>
            </w:r>
          </w:p>
        </w:tc>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Planlanan</w:t>
            </w:r>
          </w:p>
        </w:tc>
        <w:tc>
          <w:tcPr>
            <w:tcW w:type="dxa" w:w="4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Pilot sonuçları sonrası üretim mimarisi</w:t>
            </w:r>
          </w:p>
        </w:tc>
        <w:tc>
          <w:tcPr>
            <w:tcW w:type="dxa" w:w="1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Bekliyor</w:t>
            </w:r>
          </w:p>
        </w:tc>
      </w:tr>
    </w:tbl>
    <w:p>
      <w:pPr>
        <w:spacing w:after="20"/>
      </w:pPr>
    </w:p>
    <w:p>
      <w:pPr>
        <w:pStyle w:val="Heading2"/>
        <w:keepNext/>
        <w:keepLines/>
      </w:pPr>
      <w:r>
        <w:t>Kaynak Belgeler</w:t>
      </w:r>
    </w:p>
    <w:p>
      <w:pPr>
        <w:numPr>
          <w:ilvl w:val="0"/>
          <w:numId w:val="10"/>
        </w:numPr>
        <w:spacing w:before="0" w:after="80" w:line="280" w:lineRule="auto"/>
        <w:ind w:left="720" w:hanging="360"/>
      </w:pPr>
      <w:r>
        <w:rPr>
          <w:rFonts w:ascii="Calibri" w:hAnsi="Calibri" w:eastAsia="Calibri"/>
          <w:color w:val="1F2933"/>
          <w:sz w:val="22"/>
        </w:rPr>
        <w:t>3E Modeli Kitabı — editöre hazır sürüm</w:t>
      </w:r>
    </w:p>
    <w:p>
      <w:pPr>
        <w:numPr>
          <w:ilvl w:val="0"/>
          <w:numId w:val="10"/>
        </w:numPr>
        <w:spacing w:before="0" w:after="80" w:line="280" w:lineRule="auto"/>
        <w:ind w:left="720" w:hanging="360"/>
      </w:pPr>
      <w:r>
        <w:rPr>
          <w:rFonts w:ascii="Calibri" w:hAnsi="Calibri" w:eastAsia="Calibri"/>
          <w:color w:val="1F2933"/>
          <w:sz w:val="22"/>
        </w:rPr>
        <w:t>3E Uygulama ve Çalışma Kitabı</w:t>
      </w:r>
    </w:p>
    <w:p>
      <w:pPr>
        <w:numPr>
          <w:ilvl w:val="0"/>
          <w:numId w:val="10"/>
        </w:numPr>
        <w:spacing w:before="0" w:after="80" w:line="280" w:lineRule="auto"/>
        <w:ind w:left="720" w:hanging="360"/>
      </w:pPr>
      <w:r>
        <w:rPr>
          <w:rFonts w:ascii="Calibri" w:hAnsi="Calibri" w:eastAsia="Calibri"/>
          <w:color w:val="1F2933"/>
          <w:sz w:val="22"/>
        </w:rPr>
        <w:t>3E Group Hizmet ve Marka Programı — KawaTech dâhil</w:t>
      </w:r>
    </w:p>
    <w:p>
      <w:pPr>
        <w:numPr>
          <w:ilvl w:val="0"/>
          <w:numId w:val="10"/>
        </w:numPr>
        <w:spacing w:before="0" w:after="80" w:line="280" w:lineRule="auto"/>
        <w:ind w:left="720" w:hanging="360"/>
      </w:pPr>
      <w:r>
        <w:rPr>
          <w:rFonts w:ascii="Calibri" w:hAnsi="Calibri" w:eastAsia="Calibri"/>
          <w:color w:val="1F2933"/>
          <w:sz w:val="22"/>
        </w:rPr>
        <w:t>3E Group 2026–2028 Aksiyon Planı — KawaTech dâhil</w:t>
      </w:r>
    </w:p>
    <w:p>
      <w:pPr>
        <w:numPr>
          <w:ilvl w:val="0"/>
          <w:numId w:val="10"/>
        </w:numPr>
        <w:spacing w:before="0" w:after="80" w:line="280" w:lineRule="auto"/>
        <w:ind w:left="720" w:hanging="360"/>
      </w:pPr>
      <w:r>
        <w:rPr>
          <w:rFonts w:ascii="Calibri" w:hAnsi="Calibri" w:eastAsia="Calibri"/>
          <w:color w:val="1F2933"/>
          <w:sz w:val="22"/>
        </w:rPr>
        <w:t>Önceki CBAM, EUDR, PPWR, ADR/RID/IMDG/DGR, gözetim, eğitim, Logfiks ve IF DIGIT sistem analizleri</w:t>
      </w:r>
    </w:p>
    <w:p>
      <w:pPr>
        <w:pStyle w:val="Heading2"/>
        <w:keepNext/>
        <w:keepLines/>
      </w:pPr>
      <w:r>
        <w:t>Terimler ve Kısaltmalar</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100"/>
        <w:gridCol w:w="7260"/>
      </w:tblGrid>
      <w:tr>
        <w:trPr>
          <w:trHeight w:hRule="auto"/>
          <w:tblHeader w:val="true"/>
          <w:cantSplit/>
        </w:trPr>
        <w:tc>
          <w:tcPr>
            <w:tcW w:type="dxa" w:w="21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Terim</w:t>
            </w:r>
          </w:p>
        </w:tc>
        <w:tc>
          <w:tcPr>
            <w:tcW w:type="dxa" w:w="72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Tanım</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3E Core</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3E Modeli yöntem, teşhis, sonuç, yönetişim ve öğrenme çekirdeği</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Orkestratör</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Uçtan uca sürecin hangi adımda olduğunu ve sıradaki işi hangi modül/rolün yapacağını yöneten merkezî yapı</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Hizmet grafiği</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Bir müşteri sonucu için gerekli hizmetleri, bağımlılıkları, sıralamayı ve tetikleyicileri gösteren ilişki modeli</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Modül sözleşmesi</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Bir modülün girişleri, çıktıları, olayları, API’leri, veri sahipliği, SLA’sı ve hata davranışı</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Tek doğru kaynak</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Belirli verinin yetkili ve güvenilir kaynak sistemi; tüm verilerin fiziksel olarak tek yerde olması anlamına gelmez</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Olay</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Başka süreçleri tetikleyebilecek, iş anlamı taşıyan ve sürümlü mesaj</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Kanıt</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Bir karar, kontrol, beyan veya sonucun doğrulanmasını sağlayan doküman, veri, ölçüm, kayıt veya saha bulgusu</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Tenant</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Platformda verileri ve yetkileri mantıksal olarak ayrılan müşteri/kurum hesabı</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RACI</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Responsible, Accountable, Consulted, Informed sorumluluk modeli</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HITL</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Human-in-the-loop; yüksek etkili veya belirsiz kararlarda zorunlu insan değerlendirmesi</w:t>
            </w:r>
          </w:p>
        </w:tc>
      </w:tr>
    </w:tbl>
    <w:p>
      <w:pPr>
        <w:spacing w:after="20"/>
      </w:pPr>
    </w:p>
    <w:p>
      <w:pPr>
        <w:pStyle w:val="Heading2"/>
        <w:keepNext/>
        <w:keepLines/>
      </w:pPr>
      <w:r>
        <w:t>Doküman Haritası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1500"/>
        <w:gridCol w:w="7860"/>
      </w:tblGrid>
      <w:tr>
        <w:trPr>
          <w:trHeight w:hRule="auto"/>
          <w:tblHeader w:val="true"/>
          <w:cantSplit/>
        </w:trPr>
        <w:tc>
          <w:tcPr>
            <w:tcW w:type="dxa" w:w="15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Bölüm</w:t>
            </w:r>
          </w:p>
        </w:tc>
        <w:tc>
          <w:tcPr>
            <w:tcW w:type="dxa" w:w="786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Amaç</w:t>
            </w:r>
          </w:p>
        </w:tc>
      </w:tr>
      <w:tr>
        <w:trPr>
          <w:trHeight w:hRule="auto"/>
          <w:cantSplit/>
        </w:trPr>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1–4</w:t>
            </w:r>
          </w:p>
        </w:tc>
        <w:tc>
          <w:tcPr>
            <w:tcW w:type="dxa" w:w="7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Vizyon, kapsam ve mimari kararlar</w:t>
            </w:r>
          </w:p>
        </w:tc>
      </w:tr>
      <w:tr>
        <w:trPr>
          <w:trHeight w:hRule="auto"/>
          <w:cantSplit/>
        </w:trPr>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5–8</w:t>
            </w:r>
          </w:p>
        </w:tc>
        <w:tc>
          <w:tcPr>
            <w:tcW w:type="dxa" w:w="7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Talep, teşhis, hizmet grafiği ve orkestrasyon algoritmaları</w:t>
            </w:r>
          </w:p>
        </w:tc>
      </w:tr>
      <w:tr>
        <w:trPr>
          <w:trHeight w:hRule="auto"/>
          <w:cantSplit/>
        </w:trPr>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9–12</w:t>
            </w:r>
          </w:p>
        </w:tc>
        <w:tc>
          <w:tcPr>
            <w:tcW w:type="dxa" w:w="7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Modüller, ortak veri modeli, API ve olay sözleşmeleri</w:t>
            </w:r>
          </w:p>
        </w:tc>
      </w:tr>
      <w:tr>
        <w:trPr>
          <w:trHeight w:hRule="auto"/>
          <w:cantSplit/>
        </w:trPr>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13–16</w:t>
            </w:r>
          </w:p>
        </w:tc>
        <w:tc>
          <w:tcPr>
            <w:tcW w:type="dxa" w:w="7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Roller, güvenlik, yapay zekâ ve operasyonel dayanıklılık</w:t>
            </w:r>
          </w:p>
        </w:tc>
      </w:tr>
      <w:tr>
        <w:trPr>
          <w:trHeight w:hRule="auto"/>
          <w:cantSplit/>
        </w:trPr>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17–20</w:t>
            </w:r>
          </w:p>
        </w:tc>
        <w:tc>
          <w:tcPr>
            <w:tcW w:type="dxa" w:w="7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Ekranlar, raporlar, testler ve kabul kriterleri</w:t>
            </w:r>
          </w:p>
        </w:tc>
      </w:tr>
      <w:tr>
        <w:trPr>
          <w:trHeight w:hRule="auto"/>
          <w:cantSplit/>
        </w:trPr>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21–23</w:t>
            </w:r>
          </w:p>
        </w:tc>
        <w:tc>
          <w:tcPr>
            <w:tcW w:type="dxa" w:w="7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Geliştirme yol haritası, ekip/RACI ve riskler</w:t>
            </w:r>
          </w:p>
        </w:tc>
      </w:tr>
      <w:tr>
        <w:trPr>
          <w:trHeight w:hRule="auto"/>
          <w:cantSplit/>
        </w:trPr>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Ekler</w:t>
            </w:r>
          </w:p>
        </w:tc>
        <w:tc>
          <w:tcPr>
            <w:tcW w:type="dxa" w:w="7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Örnek şemalar, sözde kodlar, durum makineleri ve backlog</w:t>
            </w:r>
          </w:p>
        </w:tc>
      </w:tr>
    </w:tbl>
    <w:p>
      <w:pPr>
        <w:spacing w:after="20"/>
      </w:pPr>
    </w:p>
    <w:p>
      <w:pPr>
        <w:pStyle w:val="Heading1"/>
        <w:keepNext/>
        <w:keepLines/>
      </w:pPr>
      <w:r>
        <w:t>1. Yönetici Özeti</w:t>
      </w:r>
    </w:p>
    <w:tbl>
      <w:tblPr>
        <w:tblStyle w:val="TableGrid"/>
        <w:tblW w:type="dxa" w:w="9360"/>
        <w:jc w:val="left"/>
        <w:tblLayout w:type="fixed"/>
        <w:tblLook w:firstColumn="1" w:firstRow="1" w:lastColumn="0" w:lastRow="0" w:noHBand="0" w:noVBand="1" w:val="04A0"/>
        <w:tblInd w:w="120" w:type="dxa"/>
        <w:tblBorders>
          <w:top w:val="single" w:sz="6" w:space="0" w:color="1D7A78"/>
          <w:left w:val="single" w:sz="6" w:space="0" w:color="1D7A78"/>
          <w:bottom w:val="single" w:sz="6" w:space="0" w:color="1D7A78"/>
          <w:right w:val="single" w:sz="6" w:space="0" w:color="1D7A78"/>
          <w:insideH w:val="single" w:sz="6" w:space="0" w:color="1D7A78"/>
          <w:insideV w:val="single" w:sz="6" w:space="0" w:color="1D7A78"/>
        </w:tblBorders>
      </w:tblPr>
      <w:tblGrid>
        <w:gridCol w:w="9360"/>
      </w:tblGrid>
      <w:tr>
        <w:trPr>
          <w:trHeight w:hRule="auto"/>
          <w:cantSplit/>
        </w:trPr>
        <w:tc>
          <w:tcPr>
            <w:tcW w:type="dxa" w:w="9360"/>
            <w:tcMar>
              <w:top w:w="140" w:type="dxa"/>
              <w:start w:w="180" w:type="dxa"/>
              <w:bottom w:w="140" w:type="dxa"/>
              <w:end w:w="180" w:type="dxa"/>
            </w:tcMar>
            <w:vAlign w:val="center"/>
            <w:shd w:fill="E8F3F2"/>
          </w:tcPr>
          <w:p>
            <w:pPr>
              <w:spacing w:after="60"/>
            </w:pPr>
            <w:r>
              <w:rPr>
                <w:rFonts w:ascii="Calibri" w:hAnsi="Calibri" w:eastAsia="Calibri"/>
                <w:b/>
                <w:color w:val="1D7A78"/>
                <w:sz w:val="18"/>
              </w:rPr>
              <w:t>ÖNERILEN ÜRÜN</w:t>
            </w:r>
          </w:p>
          <w:p>
            <w:pPr>
              <w:spacing w:before="0" w:after="0" w:line="269" w:lineRule="auto"/>
            </w:pPr>
            <w:r>
              <w:rPr>
                <w:rFonts w:ascii="Calibri" w:hAnsi="Calibri" w:eastAsia="Calibri"/>
                <w:color w:val="1F2933"/>
                <w:sz w:val="20"/>
              </w:rPr>
              <w:t>3E Model Hub; bir CRM, mevzuat yazılımı veya görev takip aracından ibaret değildir. Talebi teşhis eden, ortak sonuç tasarlayan, farklı 3E uzmanlık sistemlerini bir hizmet grafiği üzerinden çalıştıran ve müşteriye tek durum/tek kanıt/tek yönetim görünümü sunan çok kiracılı bir hizmet işletim sistemidir.</w:t>
            </w:r>
          </w:p>
        </w:tc>
      </w:tr>
    </w:tbl>
    <w:p>
      <w:pPr>
        <w:spacing w:after="20"/>
      </w:pPr>
    </w:p>
    <w:p>
      <w:pPr/>
      <w:r>
        <w:rPr>
          <w:rFonts w:ascii="Calibri" w:hAnsi="Calibri" w:eastAsia="Calibri"/>
          <w:i w:val="0"/>
          <w:color w:val="1F2933"/>
          <w:sz w:val="22"/>
        </w:rPr>
        <w:t>Bugüne kadar CBAM, EUDR, PPWR, tehlikeli madde, gözetim, eğitim, lojistik, sürdürülebilirlik ve mühendislik için tasarlanan modüller kendi uzmanlık alanlarında çalışacaktır. Yeni platform bu sistemlerin yerine geçmeyecek; onları ortak müşteri, ortak veri, ortak iş akışı ve ortak sonuç etrafında bağlayacaktır.</w:t>
      </w:r>
    </w:p>
    <w:p>
      <w:pPr>
        <w:numPr>
          <w:ilvl w:val="0"/>
          <w:numId w:val="10"/>
        </w:numPr>
        <w:spacing w:before="0" w:after="80" w:line="280" w:lineRule="auto"/>
        <w:ind w:left="720" w:hanging="360"/>
      </w:pPr>
      <w:r>
        <w:rPr>
          <w:rFonts w:ascii="Calibri" w:hAnsi="Calibri" w:eastAsia="Calibri"/>
          <w:color w:val="1F2933"/>
          <w:sz w:val="22"/>
        </w:rPr>
        <w:t>Müşteri tek bir hizmet talep etse dahi sistem talebin arkasındaki gerçek ihtiyacı 3E teşhis sorularıyla değerlendirir.</w:t>
      </w:r>
    </w:p>
    <w:p>
      <w:pPr>
        <w:numPr>
          <w:ilvl w:val="0"/>
          <w:numId w:val="10"/>
        </w:numPr>
        <w:spacing w:before="0" w:after="80" w:line="280" w:lineRule="auto"/>
        <w:ind w:left="720" w:hanging="360"/>
      </w:pPr>
      <w:r>
        <w:rPr>
          <w:rFonts w:ascii="Calibri" w:hAnsi="Calibri" w:eastAsia="Calibri"/>
          <w:color w:val="1F2933"/>
          <w:sz w:val="22"/>
        </w:rPr>
        <w:t>Aynı müşteri, ürün, tedarikçi, tesis, çalışan, sevkiyat, proje ve kanıt verisi modüllerde yeniden üretilmez; tekil kimliklerle paylaşılır.</w:t>
      </w:r>
    </w:p>
    <w:p>
      <w:pPr>
        <w:numPr>
          <w:ilvl w:val="0"/>
          <w:numId w:val="10"/>
        </w:numPr>
        <w:spacing w:before="0" w:after="80" w:line="280" w:lineRule="auto"/>
        <w:ind w:left="720" w:hanging="360"/>
      </w:pPr>
      <w:r>
        <w:rPr>
          <w:rFonts w:ascii="Calibri" w:hAnsi="Calibri" w:eastAsia="Calibri"/>
          <w:color w:val="1F2933"/>
          <w:sz w:val="22"/>
        </w:rPr>
        <w:t>Mevzuat ve karar kuralları uygulama koduna dağılmaz; yürürlük tarihi, kaynak, ülke, kapsam ve onay bilgisiyle sürümlü kural kataloğunda tutulur.</w:t>
      </w:r>
    </w:p>
    <w:p>
      <w:pPr>
        <w:numPr>
          <w:ilvl w:val="0"/>
          <w:numId w:val="10"/>
        </w:numPr>
        <w:spacing w:before="0" w:after="80" w:line="280" w:lineRule="auto"/>
        <w:ind w:left="720" w:hanging="360"/>
      </w:pPr>
      <w:r>
        <w:rPr>
          <w:rFonts w:ascii="Calibri" w:hAnsi="Calibri" w:eastAsia="Calibri"/>
          <w:color w:val="1F2933"/>
          <w:sz w:val="22"/>
        </w:rPr>
        <w:t>Merkezî workflow kritik ve uzun süreçleri orkestre eder; modüller arası gevşek bağlı bildirim ve tetiklemeler olay veri yolu üzerinden yürür.</w:t>
      </w:r>
    </w:p>
    <w:p>
      <w:pPr>
        <w:numPr>
          <w:ilvl w:val="0"/>
          <w:numId w:val="10"/>
        </w:numPr>
        <w:spacing w:before="0" w:after="80" w:line="280" w:lineRule="auto"/>
        <w:ind w:left="720" w:hanging="360"/>
      </w:pPr>
      <w:r>
        <w:rPr>
          <w:rFonts w:ascii="Calibri" w:hAnsi="Calibri" w:eastAsia="Calibri"/>
          <w:color w:val="1F2933"/>
          <w:sz w:val="22"/>
        </w:rPr>
        <w:t>Yüksek etkili uyum, güvenlik, resmî beyan, fiyat ve kapsam kararlarında insan onayı zorunludur.</w:t>
      </w:r>
    </w:p>
    <w:p>
      <w:pPr>
        <w:numPr>
          <w:ilvl w:val="0"/>
          <w:numId w:val="10"/>
        </w:numPr>
        <w:spacing w:before="0" w:after="80" w:line="280" w:lineRule="auto"/>
        <w:ind w:left="720" w:hanging="360"/>
      </w:pPr>
      <w:r>
        <w:rPr>
          <w:rFonts w:ascii="Calibri" w:hAnsi="Calibri" w:eastAsia="Calibri"/>
          <w:color w:val="1F2933"/>
          <w:sz w:val="22"/>
        </w:rPr>
        <w:t>Her hizmetin girdisi, çıktısı, sahibi, maliyeti, süresi, SLA’sı, kanıtı ve başarısızlık davranışı bir modül sözleşmesiyle tanımlanır.</w:t>
      </w:r>
    </w:p>
    <w:p>
      <w:pPr>
        <w:numPr>
          <w:ilvl w:val="0"/>
          <w:numId w:val="10"/>
        </w:numPr>
        <w:spacing w:before="0" w:after="80" w:line="280" w:lineRule="auto"/>
        <w:ind w:left="720" w:hanging="360"/>
      </w:pPr>
      <w:r>
        <w:rPr>
          <w:rFonts w:ascii="Calibri" w:hAnsi="Calibri" w:eastAsia="Calibri"/>
          <w:color w:val="1F2933"/>
          <w:sz w:val="22"/>
        </w:rPr>
        <w:t>Müşteri farklı 3E markalarından hizmet alsa da tek portalda proje, görev, uygunsuzluk, belge, yetkinlik, risk, maliyet ve sonuç görünümü elde eder.</w:t>
      </w:r>
    </w:p>
    <w:p>
      <w:pPr>
        <w:pStyle w:val="Heading2"/>
        <w:keepNext/>
        <w:keepLines/>
      </w:pPr>
      <w:r>
        <w:t>1.1 Stratejik Sonuç</w:t>
      </w:r>
    </w:p>
    <w:p>
      <w:pPr/>
      <w:r>
        <w:rPr>
          <w:rFonts w:ascii="Calibri" w:hAnsi="Calibri" w:eastAsia="Calibri"/>
          <w:i w:val="0"/>
          <w:color w:val="1F2933"/>
          <w:sz w:val="22"/>
        </w:rPr>
        <w:t>Platform, 3E Group’u çok hizmetli bir şirketler topluluğundan ortak metodolojiyle çalışan, ölçülebilir ve lisanslanabilir bir dönüşüm ekosistemine taşır. 2026–2027 döneminde çekirdek ve ilk entegrasyonlar; 2028’de on kontrollü uzman ajanı, ortak yönetim paneli ve markalar arası gelir paylaşımı bulunan platformlaşma hedefi için teknik temel oluşur.</w:t>
      </w:r>
    </w:p>
    <w:p>
      <w:pPr>
        <w:pStyle w:val="Heading2"/>
        <w:keepNext/>
        <w:keepLines/>
      </w:pPr>
      <w:r>
        <w:t>1.2 İlk Üretim Kapsamı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900"/>
        <w:gridCol w:w="5200"/>
        <w:gridCol w:w="3260"/>
      </w:tblGrid>
      <w:tr>
        <w:trPr>
          <w:trHeight w:hRule="auto"/>
          <w:tblHeader w:val="true"/>
          <w:cantSplit/>
        </w:trPr>
        <w:tc>
          <w:tcPr>
            <w:tcW w:type="dxa" w:w="9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Öncelik</w:t>
            </w:r>
          </w:p>
        </w:tc>
        <w:tc>
          <w:tcPr>
            <w:tcW w:type="dxa" w:w="52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Kapsam</w:t>
            </w:r>
          </w:p>
        </w:tc>
        <w:tc>
          <w:tcPr>
            <w:tcW w:type="dxa" w:w="326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İlk sürüm kararı</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P0</w:t>
            </w:r>
          </w:p>
        </w:tc>
        <w:tc>
          <w:tcPr>
            <w:tcW w:type="dxa" w:w="5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Tenant, kimlik/yetki, müşteri, talep, teşhis, hizmet kataloğu, proje, iş emri, görev, RACI, kanıt, karar, bildirim, audit</w:t>
            </w:r>
          </w:p>
        </w:tc>
        <w:tc>
          <w:tcPr>
            <w:tcW w:type="dxa" w:w="3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MVP’de zorunlu</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P0</w:t>
            </w:r>
          </w:p>
        </w:tc>
        <w:tc>
          <w:tcPr>
            <w:tcW w:type="dxa" w:w="5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Kural kataloğu ve sürümleme; insan onay kapıları</w:t>
            </w:r>
          </w:p>
        </w:tc>
        <w:tc>
          <w:tcPr>
            <w:tcW w:type="dxa" w:w="3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MVP’de zorunlu</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P0</w:t>
            </w:r>
          </w:p>
        </w:tc>
        <w:tc>
          <w:tcPr>
            <w:tcW w:type="dxa" w:w="5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CBAM + EUDR/DDS + PPWR ortak tedarikçi/ürün veri omurgası</w:t>
            </w:r>
          </w:p>
        </w:tc>
        <w:tc>
          <w:tcPr>
            <w:tcW w:type="dxa" w:w="3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İlk pilot paketi</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P0</w:t>
            </w:r>
          </w:p>
        </w:tc>
        <w:tc>
          <w:tcPr>
            <w:tcW w:type="dxa" w:w="5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ST TMGD/tehlikeli madde + Logfiks görev/belge/yetkinlik entegrasyonu</w:t>
            </w:r>
          </w:p>
        </w:tc>
        <w:tc>
          <w:tcPr>
            <w:tcW w:type="dxa" w:w="3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İlk operasyon paketi</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P1</w:t>
            </w:r>
          </w:p>
        </w:tc>
        <w:tc>
          <w:tcPr>
            <w:tcW w:type="dxa" w:w="5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3E Akademi + Survey Turk + kanıt/uygunsuzluk geri besleme döngüsü</w:t>
            </w:r>
          </w:p>
        </w:tc>
        <w:tc>
          <w:tcPr>
            <w:tcW w:type="dxa" w:w="3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MVP+1</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P1</w:t>
            </w:r>
          </w:p>
        </w:tc>
        <w:tc>
          <w:tcPr>
            <w:tcW w:type="dxa" w:w="5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 ve tedarikçi portalları; yönetim panosu</w:t>
            </w:r>
          </w:p>
        </w:tc>
        <w:tc>
          <w:tcPr>
            <w:tcW w:type="dxa" w:w="3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MVP+1</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P2</w:t>
            </w:r>
          </w:p>
        </w:tc>
        <w:tc>
          <w:tcPr>
            <w:tcW w:type="dxa" w:w="5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Fumigaz, Graceful, KawaTech, we nexus ve gelişmiş AI ajanları</w:t>
            </w:r>
          </w:p>
        </w:tc>
        <w:tc>
          <w:tcPr>
            <w:tcW w:type="dxa" w:w="3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Ürünleşme/ölçekleme</w:t>
            </w:r>
          </w:p>
        </w:tc>
      </w:tr>
    </w:tbl>
    <w:p>
      <w:pPr>
        <w:spacing w:after="20"/>
      </w:pPr>
    </w:p>
    <w:p>
      <w:pPr>
        <w:pStyle w:val="Heading1"/>
        <w:keepNext/>
        <w:keepLines/>
      </w:pPr>
      <w:r>
        <w:t>2. Ürün Vizyonu ve Tasarım İlkeleri</w:t>
      </w:r>
    </w:p>
    <w:p>
      <w:pPr>
        <w:pStyle w:val="Heading2"/>
        <w:keepNext/>
        <w:keepLines/>
      </w:pPr>
      <w:r>
        <w:t>2.1 Vizyon Cümlesi</w:t>
      </w:r>
    </w:p>
    <w:tbl>
      <w:tblPr>
        <w:tblStyle w:val="TableGrid"/>
        <w:tblW w:type="dxa" w:w="9360"/>
        <w:jc w:val="left"/>
        <w:tblLayout w:type="fixed"/>
        <w:tblLook w:firstColumn="1" w:firstRow="1" w:lastColumn="0" w:lastRow="0" w:noHBand="0" w:noVBand="1" w:val="04A0"/>
        <w:tblInd w:w="120" w:type="dxa"/>
        <w:tblBorders>
          <w:top w:val="single" w:sz="6" w:space="0" w:color="2E74B5"/>
          <w:left w:val="single" w:sz="6" w:space="0" w:color="2E74B5"/>
          <w:bottom w:val="single" w:sz="6" w:space="0" w:color="2E74B5"/>
          <w:right w:val="single" w:sz="6" w:space="0" w:color="2E74B5"/>
          <w:insideH w:val="single" w:sz="6" w:space="0" w:color="2E74B5"/>
          <w:insideV w:val="single" w:sz="6" w:space="0" w:color="2E74B5"/>
        </w:tblBorders>
      </w:tblPr>
      <w:tblGrid>
        <w:gridCol w:w="9360"/>
      </w:tblGrid>
      <w:tr>
        <w:trPr>
          <w:trHeight w:hRule="auto"/>
          <w:cantSplit/>
        </w:trPr>
        <w:tc>
          <w:tcPr>
            <w:tcW w:type="dxa" w:w="9360"/>
            <w:tcMar>
              <w:top w:w="140" w:type="dxa"/>
              <w:start w:w="180" w:type="dxa"/>
              <w:bottom w:w="140" w:type="dxa"/>
              <w:end w:w="180" w:type="dxa"/>
            </w:tcMar>
            <w:vAlign w:val="center"/>
            <w:shd w:fill="E8EEF5"/>
          </w:tcPr>
          <w:p>
            <w:pPr>
              <w:spacing w:after="60"/>
            </w:pPr>
            <w:r>
              <w:rPr>
                <w:rFonts w:ascii="Calibri" w:hAnsi="Calibri" w:eastAsia="Calibri"/>
                <w:b/>
                <w:color w:val="2E74B5"/>
                <w:sz w:val="18"/>
              </w:rPr>
              <w:t>VIZYON</w:t>
            </w:r>
          </w:p>
          <w:p>
            <w:pPr>
              <w:spacing w:before="0" w:after="0" w:line="269" w:lineRule="auto"/>
            </w:pPr>
            <w:r>
              <w:rPr>
                <w:rFonts w:ascii="Calibri" w:hAnsi="Calibri" w:eastAsia="Calibri"/>
                <w:color w:val="1F2933"/>
                <w:sz w:val="20"/>
              </w:rPr>
              <w:t>Müşterinin söylediği hizmetten başlayıp gerçek ihtiyacı bulan; doğru uzmanlıkları doğru sırayla çalıştıran; uygulamayı kanıtlayan ve sonucu kurumsal hafızaya dönüştüren 3E dijital sinir sistemi.</w:t>
            </w:r>
          </w:p>
        </w:tc>
      </w:tr>
    </w:tbl>
    <w:p>
      <w:pPr>
        <w:spacing w:after="20"/>
      </w:pP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400"/>
        <w:gridCol w:w="6960"/>
      </w:tblGrid>
      <w:tr>
        <w:trPr>
          <w:trHeight w:hRule="auto"/>
          <w:tblHeader w:val="true"/>
          <w:cantSplit/>
        </w:trPr>
        <w:tc>
          <w:tcPr>
            <w:tcW w:type="dxa" w:w="24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İlke</w:t>
            </w:r>
          </w:p>
        </w:tc>
        <w:tc>
          <w:tcPr>
            <w:tcW w:type="dxa" w:w="696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Yazılım karşılığı</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Tek kapı, çoklu uzmanlık</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Tüm talepler ortak girişten alınır; müşteri modül ve marka karmaşıklığıyla karşılaşmaz.</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Talep ≠ gerçek ihtiyaç</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Hizmet satışı öncesi kanıta dayalı teşhis çalışır; gerekli olmayan modül eklenmez.</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Ortak çekirdek, bağımsız uzmanlık</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Modüller kendi alan verisinin sahibi kalır; kimlik, görev, kanıt, karar ve audit ortak servislerden alınır.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Veri bir kez üretilir</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Tekil kimlik, tek doğru kaynak, tarihsel geçerlilik ve veri soy ağacı esastır.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Kurallar kod değildir</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Mevzuat, eşik, kapsam, hesaplama ve yönlendirme kuralları sürümlü ve test edilebilir katalogda tutulur.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Kanıtsız başarı yoktur</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Her kontrol, onay, kapanış ve resmî çıktı kanıt/denetim iziyle bağlanır.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İnsan karar sınırı</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Yüksek riskli, etik, belirsiz veya geri alınamaz işlemlerde otomasyon karar desteği seviyesinde kalır.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Gevşek bağlı entegrasyon</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Doğrudan noktadan noktaya bağlantılar sınırlanır; API sözleşmesi ve iş olayları tercih edilir.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Ölçekten önce pilot</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Modül önce gölge mod/pilot/istasyon bazında doğrulanır; ölçülebilir fayda yoksa yatırım büyütülmez.</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Öğrenen sistem</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Uygunsuzluk, saha kanıtı, kullanıcı geri bildirimi ve proje sonucu kural, eğitim ve ürün sürümüne geri döner.</w:t>
            </w:r>
          </w:p>
        </w:tc>
      </w:tr>
    </w:tbl>
    <w:p>
      <w:pPr>
        <w:spacing w:after="20"/>
      </w:pPr>
    </w:p>
    <w:p>
      <w:pPr>
        <w:pStyle w:val="Heading2"/>
        <w:keepNext/>
        <w:keepLines/>
      </w:pPr>
      <w:r>
        <w:t>2.2 Kapsam Dışı</w:t>
      </w:r>
    </w:p>
    <w:p>
      <w:pPr>
        <w:numPr>
          <w:ilvl w:val="0"/>
          <w:numId w:val="10"/>
        </w:numPr>
        <w:spacing w:before="0" w:after="80" w:line="280" w:lineRule="auto"/>
        <w:ind w:left="720" w:hanging="360"/>
      </w:pPr>
      <w:r>
        <w:rPr>
          <w:rFonts w:ascii="Calibri" w:hAnsi="Calibri" w:eastAsia="Calibri"/>
          <w:color w:val="1F2933"/>
          <w:sz w:val="22"/>
        </w:rPr>
        <w:t>İlk sürümde bütün eski sistemlerin tek uygulamada yeniden yazılması</w:t>
      </w:r>
    </w:p>
    <w:p>
      <w:pPr>
        <w:numPr>
          <w:ilvl w:val="0"/>
          <w:numId w:val="10"/>
        </w:numPr>
        <w:spacing w:before="0" w:after="80" w:line="280" w:lineRule="auto"/>
        <w:ind w:left="720" w:hanging="360"/>
      </w:pPr>
      <w:r>
        <w:rPr>
          <w:rFonts w:ascii="Calibri" w:hAnsi="Calibri" w:eastAsia="Calibri"/>
          <w:color w:val="1F2933"/>
          <w:sz w:val="22"/>
        </w:rPr>
        <w:t>Mevzuat veya resmî beyanlarda uzman onayını ortadan kaldıran tam otomasyon</w:t>
      </w:r>
    </w:p>
    <w:p>
      <w:pPr>
        <w:numPr>
          <w:ilvl w:val="0"/>
          <w:numId w:val="10"/>
        </w:numPr>
        <w:spacing w:before="0" w:after="80" w:line="280" w:lineRule="auto"/>
        <w:ind w:left="720" w:hanging="360"/>
      </w:pPr>
      <w:r>
        <w:rPr>
          <w:rFonts w:ascii="Calibri" w:hAnsi="Calibri" w:eastAsia="Calibri"/>
          <w:color w:val="1F2933"/>
          <w:sz w:val="22"/>
        </w:rPr>
        <w:t>Müşteri verilerini izinsiz biçimde grup şirketleri arasında sınırsız paylaşma</w:t>
      </w:r>
    </w:p>
    <w:p>
      <w:pPr>
        <w:numPr>
          <w:ilvl w:val="0"/>
          <w:numId w:val="10"/>
        </w:numPr>
        <w:spacing w:before="0" w:after="80" w:line="280" w:lineRule="auto"/>
        <w:ind w:left="720" w:hanging="360"/>
      </w:pPr>
      <w:r>
        <w:rPr>
          <w:rFonts w:ascii="Calibri" w:hAnsi="Calibri" w:eastAsia="Calibri"/>
          <w:color w:val="1F2933"/>
          <w:sz w:val="22"/>
        </w:rPr>
        <w:t>Her ülke ve her regülasyon için aynı anda üretim kapsamı</w:t>
      </w:r>
    </w:p>
    <w:p>
      <w:pPr>
        <w:numPr>
          <w:ilvl w:val="0"/>
          <w:numId w:val="10"/>
        </w:numPr>
        <w:spacing w:before="0" w:after="80" w:line="280" w:lineRule="auto"/>
        <w:ind w:left="720" w:hanging="360"/>
      </w:pPr>
      <w:r>
        <w:rPr>
          <w:rFonts w:ascii="Calibri" w:hAnsi="Calibri" w:eastAsia="Calibri"/>
          <w:color w:val="1F2933"/>
          <w:sz w:val="22"/>
        </w:rPr>
        <w:t>Yapay zekânın kaynak göstermeden mevzuat hükmü veya kesin uygunluk kararı üretmesi</w:t>
      </w:r>
    </w:p>
    <w:p>
      <w:pPr>
        <w:numPr>
          <w:ilvl w:val="0"/>
          <w:numId w:val="10"/>
        </w:numPr>
        <w:spacing w:before="0" w:after="80" w:line="280" w:lineRule="auto"/>
        <w:ind w:left="720" w:hanging="360"/>
      </w:pPr>
      <w:r>
        <w:rPr>
          <w:rFonts w:ascii="Calibri" w:hAnsi="Calibri" w:eastAsia="Calibri"/>
          <w:color w:val="1F2933"/>
          <w:sz w:val="22"/>
        </w:rPr>
        <w:t>ERP, muhasebe, insan kaynakları veya depo yönetim sisteminin tüm işlevlerini ikame etme</w:t>
      </w:r>
    </w:p>
    <w:p>
      <w:pPr>
        <w:pStyle w:val="Heading1"/>
        <w:keepNext/>
        <w:keepLines/>
      </w:pPr>
      <w:r>
        <w:t>3. Sistem Kapsamı, Aktörler ve Portallar</w:t>
      </w:r>
    </w:p>
    <w:p>
      <w:pPr>
        <w:pStyle w:val="Heading2"/>
        <w:keepNext/>
        <w:keepLines/>
      </w:pPr>
      <w:r>
        <w:t>3.1 Sistem Sınırı</w:t>
      </w:r>
    </w:p>
    <w:p>
      <w:pPr/>
      <w:r>
        <w:rPr>
          <w:rFonts w:ascii="Calibri" w:hAnsi="Calibri" w:eastAsia="Calibri"/>
          <w:i w:val="0"/>
          <w:color w:val="1F2933"/>
          <w:sz w:val="22"/>
        </w:rPr>
        <w:t>Platform; satış öncesi talep ve teşhisten başlayıp teklif, proje, modül iş emirleri, görevler, saha/uzman uygulaması, kanıt, uygunsuzluk, doğrulama, fayda ölçümü, faturalama referansı ve öğrenme kaydına kadar hizmet yaşam döngüsünü kapsar. Finansal muhasebe, bordro ve stok kayıtları yetkili dış sistemlerde kalabilir; platform bu verileri gerekli düzeyde okur veya referanslar.</w:t>
      </w:r>
    </w:p>
    <w:p>
      <w:pPr>
        <w:pStyle w:val="Heading2"/>
        <w:keepNext/>
        <w:keepLines/>
      </w:pPr>
      <w:r>
        <w:t>3.2 Aktörler</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400"/>
        <w:gridCol w:w="6960"/>
      </w:tblGrid>
      <w:tr>
        <w:trPr>
          <w:trHeight w:hRule="auto"/>
          <w:tblHeader w:val="true"/>
          <w:cantSplit/>
        </w:trPr>
        <w:tc>
          <w:tcPr>
            <w:tcW w:type="dxa" w:w="24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Aktör</w:t>
            </w:r>
          </w:p>
        </w:tc>
        <w:tc>
          <w:tcPr>
            <w:tcW w:type="dxa" w:w="696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Temel sorumluluk</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Müşteri talep sahibi</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Talep açar, bilgi sağlar, teklif ve sonuçları izler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Müşteri sponsoru</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Sonucu, bütçeyi, kapsamı ve kritik istisnayı onaylar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Müşteri süreç/veri sahibi</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İş anlamı, veri kalitesi ve uygulama sorumluluğunu taşır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Tedarikçi</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Kendisine ait ürün, menşe, emisyon, ambalaj ve kanıt verisini gönderir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3E çözüm mimarı</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Teşhis, hizmet grafiği, kapsam ve modül kompozisyonunu oluşturur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Program/proje yöneticisi</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Süre, bütçe, RACI, bağımlılık ve eskalasyonu yönetir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Uzman/danışman</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Alan değerlendirmesi, hesaplama, rapor ve karar önerisi üretir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Eğitmen/mentor</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Eğitim, sınav, yetkinlik ve gözetimli uygulamayı yönetir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Gözetmen/saha uzmanı</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Konum, zaman, fotoğraf, ölçüm ve uygunsuzluk kanıtı oluşturur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Kalite/güvence</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Metodoloji, kural, çıktı ve kapanış doğrulaması yapar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Marka yöneticisi</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Kapasite, fiyat, kalite, SLA ve gelir paylaşımını yönetir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Platform yöneticisi</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Tenant, kullanıcı, konfigürasyon, entegrasyon ve operasyonu yönetir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Yazılım/entegrasyon servisi</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API veya olay sözleşmesiyle otomatik işlem yapan teknik aktör</w:t>
            </w:r>
          </w:p>
        </w:tc>
      </w:tr>
    </w:tbl>
    <w:p>
      <w:pPr>
        <w:spacing w:after="20"/>
      </w:pPr>
    </w:p>
    <w:p>
      <w:pPr>
        <w:pStyle w:val="Heading2"/>
        <w:keepNext/>
        <w:keepLines/>
      </w:pPr>
      <w:r>
        <w:t>3.3 Portal Yapısı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400"/>
        <w:gridCol w:w="6960"/>
      </w:tblGrid>
      <w:tr>
        <w:trPr>
          <w:trHeight w:hRule="auto"/>
          <w:tblHeader w:val="true"/>
          <w:cantSplit/>
        </w:trPr>
        <w:tc>
          <w:tcPr>
            <w:tcW w:type="dxa" w:w="24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Arayüz</w:t>
            </w:r>
          </w:p>
        </w:tc>
        <w:tc>
          <w:tcPr>
            <w:tcW w:type="dxa" w:w="69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Kapsam</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3E Yönetim Konsolu</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Portföy, kapasite, kârlılık referansı, risk, kalite, SLA ve grup içi dağıtım</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Çözüm Mimarı Paneli</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Talep, 3E teşhis, hizmet grafiği, teklif, karar kapıları</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Uzman Çalışma Alanı</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Atanan işler, veri, kural sürümü, hesaplama, rapor, kanıt ve onay</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Müşteri Kontrol Kulesi</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Tek müşteri hesabı altında tüm hizmetler, görevler, belgeler, riskler ve sonuçlar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Tedarikçi Portalı</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Talep edilen veri/kanıt, durum, açıklama, eksik alan ve yeniden gönderim</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Saha Mobil/PWA</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Çevrimdışı form, fotoğraf, konum, zaman, ölçüm, imza, uygunsuzluk</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Eğitim Portalı</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Program, katılımcı, yetkinlik, sınav, sertifika, görev yetkisi</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Entegrasyon/API Alanı</w:t>
            </w:r>
          </w:p>
        </w:tc>
        <w:tc>
          <w:tcPr>
            <w:tcW w:type="dxa" w:w="6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Sistem hesabı, API anahtarı/OAuth istemcisi, veri sözleşmeleri ve günlükler</w:t>
            </w:r>
          </w:p>
        </w:tc>
      </w:tr>
    </w:tbl>
    <w:p>
      <w:pPr>
        <w:spacing w:after="20"/>
      </w:pPr>
    </w:p>
    <w:p>
      <w:pPr>
        <w:pStyle w:val="Heading1"/>
        <w:keepNext/>
        <w:keepLines/>
      </w:pPr>
      <w:r>
        <w:t>4. Yüksek Seviyeli Yazılım Mimarisi</w:t>
      </w:r>
    </w:p>
    <w:p>
      <w:pPr>
        <w:spacing w:before="100" w:after="60"/>
        <w:jc w:val="center"/>
      </w:pPr>
      <w:r>
        <w:drawing>
          <wp:inline xmlns:a="http://schemas.openxmlformats.org/drawingml/2006/main" xmlns:pic="http://schemas.openxmlformats.org/drawingml/2006/picture">
            <wp:extent cx="5760720" cy="3968496"/>
            <wp:docPr id="1" name="Picture 1" descr="Şekil 1 — Platform katmanları ve uzmanlık modüllerinin konumu" title="Şekil 1 — Platform katmanları ve uzmanlık modüllerinin konumu"/>
            <wp:cNvGraphicFramePr>
              <a:graphicFrameLocks noChangeAspect="1"/>
            </wp:cNvGraphicFramePr>
            <a:graphic>
              <a:graphicData uri="http://schemas.openxmlformats.org/drawingml/2006/picture">
                <pic:pic>
                  <pic:nvPicPr>
                    <pic:cNvPr id="0" name="mimari.png"/>
                    <pic:cNvPicPr/>
                  </pic:nvPicPr>
                  <pic:blipFill>
                    <a:blip r:embed="rId9"/>
                    <a:stretch>
                      <a:fillRect/>
                    </a:stretch>
                  </pic:blipFill>
                  <pic:spPr>
                    <a:xfrm>
                      <a:off x="0" y="0"/>
                      <a:ext cx="5760720" cy="3968496"/>
                    </a:xfrm>
                    <a:prstGeom prst="rect"/>
                  </pic:spPr>
                </pic:pic>
              </a:graphicData>
            </a:graphic>
          </wp:inline>
        </w:drawing>
      </w:r>
    </w:p>
    <w:p>
      <w:pPr>
        <w:spacing w:before="0" w:after="140"/>
        <w:jc w:val="center"/>
      </w:pPr>
      <w:r>
        <w:rPr>
          <w:rFonts w:ascii="Calibri" w:hAnsi="Calibri" w:eastAsia="Calibri"/>
          <w:i/>
          <w:color w:val="5F6B76"/>
          <w:sz w:val="17"/>
        </w:rPr>
        <w:t>Şekil 1 — Platform katmanları ve uzmanlık modüllerinin konumu</w:t>
      </w:r>
    </w:p>
    <w:p>
      <w:pPr>
        <w:pStyle w:val="Heading2"/>
        <w:keepNext/>
        <w:keepLines/>
      </w:pPr>
      <w:r>
        <w:t>4.1 Önerilen Mimari Biçim</w:t>
      </w:r>
    </w:p>
    <w:tbl>
      <w:tblPr>
        <w:tblStyle w:val="TableGrid"/>
        <w:tblW w:type="dxa" w:w="9360"/>
        <w:jc w:val="left"/>
        <w:tblLayout w:type="fixed"/>
        <w:tblLook w:firstColumn="1" w:firstRow="1" w:lastColumn="0" w:lastRow="0" w:noHBand="0" w:noVBand="1" w:val="04A0"/>
        <w:tblInd w:w="120" w:type="dxa"/>
        <w:tblBorders>
          <w:top w:val="single" w:sz="6" w:space="0" w:color="1D7A78"/>
          <w:left w:val="single" w:sz="6" w:space="0" w:color="1D7A78"/>
          <w:bottom w:val="single" w:sz="6" w:space="0" w:color="1D7A78"/>
          <w:right w:val="single" w:sz="6" w:space="0" w:color="1D7A78"/>
          <w:insideH w:val="single" w:sz="6" w:space="0" w:color="1D7A78"/>
          <w:insideV w:val="single" w:sz="6" w:space="0" w:color="1D7A78"/>
        </w:tblBorders>
      </w:tblPr>
      <w:tblGrid>
        <w:gridCol w:w="9360"/>
      </w:tblGrid>
      <w:tr>
        <w:trPr>
          <w:trHeight w:hRule="auto"/>
          <w:cantSplit/>
        </w:trPr>
        <w:tc>
          <w:tcPr>
            <w:tcW w:type="dxa" w:w="9360"/>
            <w:tcMar>
              <w:top w:w="140" w:type="dxa"/>
              <w:start w:w="180" w:type="dxa"/>
              <w:bottom w:w="140" w:type="dxa"/>
              <w:end w:w="180" w:type="dxa"/>
            </w:tcMar>
            <w:vAlign w:val="center"/>
            <w:shd w:fill="E8F3F2"/>
          </w:tcPr>
          <w:p>
            <w:pPr>
              <w:spacing w:after="60"/>
            </w:pPr>
            <w:r>
              <w:rPr>
                <w:rFonts w:ascii="Calibri" w:hAnsi="Calibri" w:eastAsia="Calibri"/>
                <w:b/>
                <w:color w:val="1D7A78"/>
                <w:sz w:val="18"/>
              </w:rPr>
              <w:t>MVP MIMARISI</w:t>
            </w:r>
          </w:p>
          <w:p>
            <w:pPr>
              <w:spacing w:before="0" w:after="0" w:line="269" w:lineRule="auto"/>
            </w:pPr>
            <w:r>
              <w:rPr>
                <w:rFonts w:ascii="Calibri" w:hAnsi="Calibri" w:eastAsia="Calibri"/>
                <w:color w:val="1F2933"/>
                <w:sz w:val="20"/>
              </w:rPr>
              <w:t>İlk sürüm için alan sınırları net bir modüler monolit + olay outbox/inbox yaklaşımı önerilir. Bu seçim geliştirme hızını ve işlem bütünlüğünü korur. Yük, ekip ve bağımsız sürüm ihtiyacı kanıtlandığında entegrasyon, belge/kanıt, bildirim veya ağır hesaplama servisleri ayrı dağıtılabilir.</w:t>
            </w:r>
          </w:p>
        </w:tc>
      </w:tr>
    </w:tbl>
    <w:p>
      <w:pPr>
        <w:spacing w:after="20"/>
      </w:pPr>
    </w:p>
    <w:p>
      <w:pPr/>
      <w:r>
        <w:rPr>
          <w:rFonts w:ascii="Calibri" w:hAnsi="Calibri" w:eastAsia="Calibri"/>
          <w:i w:val="0"/>
          <w:color w:val="1F2933"/>
          <w:sz w:val="22"/>
        </w:rPr>
        <w:t>Mikroservis sayısı başarı göstergesi değildir. Alan sınırları ve modül sözleşmeleri baştan kurulmalı; fiziksel ayrıştırma operasyonel ihtiyaç doğduğunda yapılmalıdır.</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100"/>
        <w:gridCol w:w="7260"/>
      </w:tblGrid>
      <w:tr>
        <w:trPr>
          <w:trHeight w:hRule="auto"/>
          <w:tblHeader w:val="true"/>
          <w:cantSplit/>
        </w:trPr>
        <w:tc>
          <w:tcPr>
            <w:tcW w:type="dxa" w:w="21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Katman</w:t>
            </w:r>
          </w:p>
        </w:tc>
        <w:tc>
          <w:tcPr>
            <w:tcW w:type="dxa" w:w="726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Sorumluluk</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Kanal katmanı</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Web/PWA, müşteri/tedarikçi/uzman/yönetim portalları, API istemcileri</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Deneyim/API katmanı</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BFF, API geçidi, hız limiti, kimlik doğrulama, sürümleme</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3E Core</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Talep, teşhis, sonuç, olgunluk, hizmet grafiği, teklif, proje, RACI, fayda ve öğrenme</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Workflow/Orkestrasyon</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Durum makineleri, görev, zamanlayıcı, SLA, onay, eskalasyon, telafi edici işlem</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Ortak servisler</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IAM, kural kataloğu, kanıt/doküman, bildirim, arama, audit, sözlük, referans veri</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Uzmanlık modülleri</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Tehlikeli madde, sürdürülebilirlik, eğitim, gözetim, lojistik, mühendislik, yayın</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Entegrasyon katmanı</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API, olay veri yolu, mesaj kuyruğu, mapping, connector, outbox/inbox, uzlaştırma</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Veri katmanı</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İşlemsel DB, nesne deposu, arama dizini, analitik ambar, yedekleme</w:t>
            </w:r>
          </w:p>
        </w:tc>
      </w:tr>
      <w:tr>
        <w:trPr>
          <w:trHeight w:hRule="auto"/>
          <w:cantSplit/>
        </w:trPr>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Gözlemlenebilirlik</w:t>
            </w:r>
          </w:p>
        </w:tc>
        <w:tc>
          <w:tcPr>
            <w:tcW w:type="dxa" w:w="7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Log, metric, trace, iş korelasyon kimliği, hata kuyruğu ve iş etkisi</w:t>
            </w:r>
          </w:p>
        </w:tc>
      </w:tr>
    </w:tbl>
    <w:p>
      <w:pPr>
        <w:spacing w:after="20"/>
      </w:pPr>
    </w:p>
    <w:p>
      <w:pPr>
        <w:pStyle w:val="Heading2"/>
        <w:keepNext/>
        <w:keepLines/>
      </w:pPr>
      <w:r>
        <w:t>4.2 Teknoloji Referans Yığını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1800"/>
        <w:gridCol w:w="7560"/>
      </w:tblGrid>
      <w:tr>
        <w:trPr>
          <w:trHeight w:hRule="auto"/>
          <w:tblHeader w:val="true"/>
          <w:cantSplit/>
        </w:trPr>
        <w:tc>
          <w:tcPr>
            <w:tcW w:type="dxa" w:w="18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Bileşen</w:t>
            </w:r>
          </w:p>
        </w:tc>
        <w:tc>
          <w:tcPr>
            <w:tcW w:type="dxa" w:w="756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Önerilen yaklaşım</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7"/>
              </w:rPr>
              <w:t>Frontend</w:t>
            </w:r>
          </w:p>
        </w:tc>
        <w:tc>
          <w:tcPr>
            <w:tcW w:type="dxa" w:w="7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React/Next.js veya eşdeğeri; TypeScript; responsive PWA; erişilebilir bileşen sistemi</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7"/>
              </w:rPr>
              <w:t>Backend</w:t>
            </w:r>
          </w:p>
        </w:tc>
        <w:tc>
          <w:tcPr>
            <w:tcW w:type="dxa" w:w="7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.NET, Java/Spring veya NestJS ailesinden biri; domain modülleri; REST/JSON; async worker</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7"/>
              </w:rPr>
              <w:t>İş akışı</w:t>
            </w:r>
          </w:p>
        </w:tc>
        <w:tc>
          <w:tcPr>
            <w:tcW w:type="dxa" w:w="7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BPMN destekli motor veya güvenilir kod tabanlı workflow/state-machine; timer ve telafi desteği</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7"/>
              </w:rPr>
              <w:t>Veri tabanı</w:t>
            </w:r>
          </w:p>
        </w:tc>
        <w:tc>
          <w:tcPr>
            <w:tcW w:type="dxa" w:w="7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PostgreSQL; tenant anahtarı; tarihsel geçerlilik; JSONB yalnız kontrollü esneklik için</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7"/>
              </w:rPr>
              <w:t>Önbellek/kilit</w:t>
            </w:r>
          </w:p>
        </w:tc>
        <w:tc>
          <w:tcPr>
            <w:tcW w:type="dxa" w:w="7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Redis veya eşdeğeri; kısa ömürlü cache, rate limit, dağıtık kilit</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7"/>
              </w:rPr>
              <w:t>Dosya/kanıt</w:t>
            </w:r>
          </w:p>
        </w:tc>
        <w:tc>
          <w:tcPr>
            <w:tcW w:type="dxa" w:w="7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S3 uyumlu nesne deposu; hash, zararlı yazılım taraması, versiyon ve saklama politikası</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7"/>
              </w:rPr>
              <w:t>Mesajlaşma</w:t>
            </w:r>
          </w:p>
        </w:tc>
        <w:tc>
          <w:tcPr>
            <w:tcW w:type="dxa" w:w="7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İlk aşamada RabbitMQ/managed queue sınıfı; yüksek hacim olay akışı kanıtlanırsa Kafka sınıfı</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7"/>
              </w:rPr>
              <w:t>Arama</w:t>
            </w:r>
          </w:p>
        </w:tc>
        <w:tc>
          <w:tcPr>
            <w:tcW w:type="dxa" w:w="7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PostgreSQL full text ile başlangıç; hacim ve gelişmiş arama ihtiyacında OpenSearch sınıfı</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7"/>
              </w:rPr>
              <w:t>Kimlik</w:t>
            </w:r>
          </w:p>
        </w:tc>
        <w:tc>
          <w:tcPr>
            <w:tcW w:type="dxa" w:w="7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OIDC/OAuth2; kurumsal SSO; MFA; servis hesapları; kısa ömürlü token</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7"/>
              </w:rPr>
              <w:t>Raporlama</w:t>
            </w:r>
          </w:p>
        </w:tc>
        <w:tc>
          <w:tcPr>
            <w:tcW w:type="dxa" w:w="7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İşlemsel panolar + ayrı analitik okuma modeli; dış BI bağlantısı</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7"/>
              </w:rPr>
              <w:t>AI</w:t>
            </w:r>
          </w:p>
        </w:tc>
        <w:tc>
          <w:tcPr>
            <w:tcW w:type="dxa" w:w="7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Onaylı bilgi tabanı/RAG, kaynak gösterme, model envanteri, prompt/model sürümü, risk kapıları</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7"/>
              </w:rPr>
              <w:t>DevOps</w:t>
            </w:r>
          </w:p>
        </w:tc>
        <w:tc>
          <w:tcPr>
            <w:tcW w:type="dxa" w:w="7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Container, CI/CD, IaC, ayrı dev/test/stage/prod, gizli anahtar kasası, SAST/DAST</w:t>
            </w:r>
          </w:p>
        </w:tc>
      </w:tr>
    </w:tbl>
    <w:p>
      <w:pPr>
        <w:spacing w:after="20"/>
      </w:pPr>
    </w:p>
    <w:p>
      <w:pPr>
        <w:pStyle w:val="Heading2"/>
        <w:keepNext/>
        <w:keepLines/>
      </w:pPr>
      <w:r>
        <w:t>4.3 Tenant ve Dağıtım Modeli</w:t>
      </w:r>
    </w:p>
    <w:p>
      <w:pPr>
        <w:numPr>
          <w:ilvl w:val="0"/>
          <w:numId w:val="10"/>
        </w:numPr>
        <w:spacing w:before="0" w:after="80" w:line="280" w:lineRule="auto"/>
        <w:ind w:left="720" w:hanging="360"/>
      </w:pPr>
      <w:r>
        <w:rPr>
          <w:rFonts w:ascii="Calibri" w:hAnsi="Calibri" w:eastAsia="Calibri"/>
          <w:color w:val="1F2933"/>
          <w:sz w:val="22"/>
        </w:rPr>
        <w:t>Her müşteri/kurum bir tenant; grup yapısı varsa tenant altında şirket, tesis, ülke ve iş birimi hiyerarşisiyle temsil edilir.</w:t>
      </w:r>
    </w:p>
    <w:p>
      <w:pPr>
        <w:numPr>
          <w:ilvl w:val="0"/>
          <w:numId w:val="10"/>
        </w:numPr>
        <w:spacing w:before="0" w:after="80" w:line="280" w:lineRule="auto"/>
        <w:ind w:left="720" w:hanging="360"/>
      </w:pPr>
      <w:r>
        <w:rPr>
          <w:rFonts w:ascii="Calibri" w:hAnsi="Calibri" w:eastAsia="Calibri"/>
          <w:color w:val="1F2933"/>
          <w:sz w:val="22"/>
        </w:rPr>
        <w:t>Bütün iş kayıtlarında tenant_id zorunludur; erişim kontrolü hem uygulama hem veri katmanında uygulanır.</w:t>
      </w:r>
    </w:p>
    <w:p>
      <w:pPr>
        <w:numPr>
          <w:ilvl w:val="0"/>
          <w:numId w:val="10"/>
        </w:numPr>
        <w:spacing w:before="0" w:after="80" w:line="280" w:lineRule="auto"/>
        <w:ind w:left="720" w:hanging="360"/>
      </w:pPr>
      <w:r>
        <w:rPr>
          <w:rFonts w:ascii="Calibri" w:hAnsi="Calibri" w:eastAsia="Calibri"/>
          <w:color w:val="1F2933"/>
          <w:sz w:val="22"/>
        </w:rPr>
        <w:t>Çok hassas veya büyük müşteriler için aynı kod tabanında ayrılmış veritabanı/depolama seçeneği desteklenebilir.</w:t>
      </w:r>
    </w:p>
    <w:p>
      <w:pPr>
        <w:numPr>
          <w:ilvl w:val="0"/>
          <w:numId w:val="10"/>
        </w:numPr>
        <w:spacing w:before="0" w:after="80" w:line="280" w:lineRule="auto"/>
        <w:ind w:left="720" w:hanging="360"/>
      </w:pPr>
      <w:r>
        <w:rPr>
          <w:rFonts w:ascii="Calibri" w:hAnsi="Calibri" w:eastAsia="Calibri"/>
          <w:color w:val="1F2933"/>
          <w:sz w:val="22"/>
        </w:rPr>
        <w:t>Grup içi 3E markaları tenant değil, service_provider_organization olarak modellenir; bir projede birden fazla sağlayıcı bulunabilir.</w:t>
      </w:r>
    </w:p>
    <w:p>
      <w:pPr>
        <w:numPr>
          <w:ilvl w:val="0"/>
          <w:numId w:val="10"/>
        </w:numPr>
        <w:spacing w:before="0" w:after="80" w:line="280" w:lineRule="auto"/>
        <w:ind w:left="720" w:hanging="360"/>
      </w:pPr>
      <w:r>
        <w:rPr>
          <w:rFonts w:ascii="Calibri" w:hAnsi="Calibri" w:eastAsia="Calibri"/>
          <w:color w:val="1F2933"/>
          <w:sz w:val="22"/>
        </w:rPr>
        <w:t>Müşteri verisi ancak sözleşme, rol ve amaç kapsamında ilgili hizmet sağlayıcıya açılır.</w:t>
      </w:r>
    </w:p>
    <w:p>
      <w:pPr>
        <w:pStyle w:val="Heading1"/>
        <w:keepNext/>
        <w:keepLines/>
      </w:pPr>
      <w:r>
        <w:t>5. Hizmet Alanları, Markalar ve Modül Sahipliği</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200"/>
        <w:gridCol w:w="2100"/>
        <w:gridCol w:w="1500"/>
        <w:gridCol w:w="3560"/>
      </w:tblGrid>
      <w:tr>
        <w:trPr>
          <w:trHeight w:hRule="auto"/>
          <w:tblHeader w:val="true"/>
          <w:cantSplit/>
        </w:trPr>
        <w:tc>
          <w:tcPr>
            <w:tcW w:type="dxa" w:w="22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Hizmet alanı</w:t>
            </w:r>
          </w:p>
        </w:tc>
        <w:tc>
          <w:tcPr>
            <w:tcW w:type="dxa" w:w="21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İş sahibi</w:t>
            </w:r>
          </w:p>
        </w:tc>
        <w:tc>
          <w:tcPr>
            <w:tcW w:type="dxa" w:w="15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Yazılım modülü</w:t>
            </w:r>
          </w:p>
        </w:tc>
        <w:tc>
          <w:tcPr>
            <w:tcW w:type="dxa" w:w="356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Ana kayıtlar</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3E Modeli ve Kurumsal Yöntem</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3E Group Strateji/Dönüşüm Ofisi</w:t>
            </w:r>
          </w:p>
        </w:tc>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3E Core</w:t>
            </w:r>
          </w:p>
        </w:tc>
        <w:tc>
          <w:tcPr>
            <w:tcW w:type="dxa" w:w="3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Teşhis, olgunluk, sonuç, yol haritası, fayda, öğrenme</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Tehlikeli Madde ve Modal Uyum</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3e Lojistik + ST TMGD</w:t>
            </w:r>
          </w:p>
        </w:tc>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DG Compliance</w:t>
            </w:r>
          </w:p>
        </w:tc>
        <w:tc>
          <w:tcPr>
            <w:tcW w:type="dxa" w:w="3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ADR/RID/IMDG/DGR, sorumluluk, kontrol, olay, uygunsuzluk</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Eğitim ve Yetkinlik</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3E Akademi</w:t>
            </w:r>
          </w:p>
        </w:tc>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Academy</w:t>
            </w:r>
          </w:p>
        </w:tc>
        <w:tc>
          <w:tcPr>
            <w:tcW w:type="dxa" w:w="3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Program, eğitmen, katılımcı, sınav, yetkinlik, yetkilendirme</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Gözetim ve Teknik Doğrulama</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Survey Turk</w:t>
            </w:r>
          </w:p>
        </w:tc>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Survey</w:t>
            </w:r>
          </w:p>
        </w:tc>
        <w:tc>
          <w:tcPr>
            <w:tcW w:type="dxa" w:w="3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Görevlendirme, saha formu, fotoğraf/konum/zaman/ölçüm, rapor</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Lojistik Yönetim Danışmanlığı</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3e Lojistik Yönetim Danışmanlık</w:t>
            </w:r>
          </w:p>
        </w:tc>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Consulting</w:t>
            </w:r>
          </w:p>
        </w:tc>
        <w:tc>
          <w:tcPr>
            <w:tcW w:type="dxa" w:w="3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Süreç, RACI, risk, KPI, koridor ve iyileştirme</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Yazılım ve Dijitalleşme</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3e Teknoloji/Pitbull + IF DIGIT</w:t>
            </w:r>
          </w:p>
        </w:tc>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Platform/Digital</w:t>
            </w:r>
          </w:p>
        </w:tc>
        <w:tc>
          <w:tcPr>
            <w:tcW w:type="dxa" w:w="3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Platform, özel iş akışı, entegrasyon ve AI</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Lojistik Operasyon</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Logfiks</w:t>
            </w:r>
          </w:p>
        </w:tc>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Logistics Ops</w:t>
            </w:r>
          </w:p>
        </w:tc>
        <w:tc>
          <w:tcPr>
            <w:tcW w:type="dxa" w:w="3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Araç, sürücü, belge, rota, görev, operasyon, olay</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Sürdürülebilirlik</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Carbonless Technologies</w:t>
            </w:r>
          </w:p>
        </w:tc>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Sustainability</w:t>
            </w:r>
          </w:p>
        </w:tc>
        <w:tc>
          <w:tcPr>
            <w:tcW w:type="dxa" w:w="3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CBAM, EUDR/DDS, PPWR, karbon, su, enerji</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Mühendislik ve Ölçüm</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Fumigaz + Graceful</w:t>
            </w:r>
          </w:p>
        </w:tc>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Engineering</w:t>
            </w:r>
          </w:p>
        </w:tc>
        <w:tc>
          <w:tcPr>
            <w:tcW w:type="dxa" w:w="3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Gaz ölçümü, kalibrasyon, bakım, tasarım, saha teknik dosyası</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Aydınlatma/Enerji Ürünü</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KawaTech</w:t>
            </w:r>
          </w:p>
        </w:tc>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Lighting</w:t>
            </w:r>
          </w:p>
        </w:tc>
        <w:tc>
          <w:tcPr>
            <w:tcW w:type="dxa" w:w="3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Ürün ağacı, uygunluk, kurulu güç, tasarruf, arıza, garanti</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Yayın ve Bilgi Ürünleri</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we nexus + 3E Akademi</w:t>
            </w:r>
          </w:p>
        </w:tc>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Knowledge</w:t>
            </w:r>
          </w:p>
        </w:tc>
        <w:tc>
          <w:tcPr>
            <w:tcW w:type="dxa" w:w="3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Kaynak, içerik sürümü, kitap/almanak, türetme ve lisans</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Kurumsal Değer ve Strateji</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3E Group Yönetim</w:t>
            </w:r>
          </w:p>
        </w:tc>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Portfolio</w:t>
            </w:r>
          </w:p>
        </w:tc>
        <w:tc>
          <w:tcPr>
            <w:tcW w:type="dxa" w:w="35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Marka/ürün portföyü, KPI, yatırım, yetki devri</w:t>
            </w:r>
          </w:p>
        </w:tc>
      </w:tr>
    </w:tbl>
    <w:p>
      <w:pPr>
        <w:spacing w:after="20"/>
      </w:pPr>
    </w:p>
    <w:p>
      <w:pPr>
        <w:pStyle w:val="Heading2"/>
        <w:keepNext/>
        <w:keepLines/>
      </w:pPr>
      <w:r>
        <w:t>5.1 Marka Bağımsız Hizmet Kodu</w:t>
      </w:r>
    </w:p>
    <w:p>
      <w:pPr/>
      <w:r>
        <w:rPr>
          <w:rFonts w:ascii="Calibri" w:hAnsi="Calibri" w:eastAsia="Calibri"/>
          <w:i w:val="0"/>
          <w:color w:val="1F2933"/>
          <w:sz w:val="22"/>
        </w:rPr>
        <w:t>Müşteri ve teknik entegrasyonlar marka adına bağlı olmamalıdır. Her hizmet; service_code, version, owner_provider, eligibility_rule, required_inputs, outputs, default_SLA, pricing_basis ve dependency kayıtlarıyla tanımlanır. Marka değişse veya yeni ortak eklense dahi hizmet kodu ve geçmiş proje kaydı korunur.</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400"/>
        <w:gridCol w:w="3300"/>
        <w:gridCol w:w="1800"/>
        <w:gridCol w:w="1860"/>
      </w:tblGrid>
      <w:tr>
        <w:trPr>
          <w:trHeight w:hRule="auto"/>
          <w:tblHeader w:val="true"/>
          <w:cantSplit/>
        </w:trPr>
        <w:tc>
          <w:tcPr>
            <w:tcW w:type="dxa" w:w="24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Örnek hizmet kodu</w:t>
            </w:r>
          </w:p>
        </w:tc>
        <w:tc>
          <w:tcPr>
            <w:tcW w:type="dxa" w:w="33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Tanım</w:t>
            </w:r>
          </w:p>
        </w:tc>
        <w:tc>
          <w:tcPr>
            <w:tcW w:type="dxa" w:w="18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Varsayılan sağlayıcı</w:t>
            </w:r>
          </w:p>
        </w:tc>
        <w:tc>
          <w:tcPr>
            <w:tcW w:type="dxa" w:w="18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Bağımlılık</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SUS.EUDR.SCOPE.v1</w:t>
            </w:r>
          </w:p>
        </w:tc>
        <w:tc>
          <w:tcPr>
            <w:tcW w:type="dxa" w:w="3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Ürün ve işlem bazlı EUDR kapsam değerlendirmesi</w:t>
            </w:r>
          </w:p>
        </w:tc>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Carbonless</w:t>
            </w:r>
          </w:p>
        </w:tc>
        <w:tc>
          <w:tcPr>
            <w:tcW w:type="dxa" w:w="1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Ürün, CN/GTİP, malzeme, menşe</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SUS.EUDR.DDS.v1</w:t>
            </w:r>
          </w:p>
        </w:tc>
        <w:tc>
          <w:tcPr>
            <w:tcW w:type="dxa" w:w="3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DDS veri/kanıt ve risk dosyası</w:t>
            </w:r>
          </w:p>
        </w:tc>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Carbonless</w:t>
            </w:r>
          </w:p>
        </w:tc>
        <w:tc>
          <w:tcPr>
            <w:tcW w:type="dxa" w:w="1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Scope sonucu = kapsamda</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SUS.CBAM.CALC.v1</w:t>
            </w:r>
          </w:p>
        </w:tc>
        <w:tc>
          <w:tcPr>
            <w:tcW w:type="dxa" w:w="3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Gömülü emisyon ve mali yük hesabı</w:t>
            </w:r>
          </w:p>
        </w:tc>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Carbonless</w:t>
            </w:r>
          </w:p>
        </w:tc>
        <w:tc>
          <w:tcPr>
            <w:tcW w:type="dxa" w:w="1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Kapsam, menşe, dönem, emisyon</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DG.ADR.READINESS.v1</w:t>
            </w:r>
          </w:p>
        </w:tc>
        <w:tc>
          <w:tcPr>
            <w:tcW w:type="dxa" w:w="3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ADR operasyon hazır oluş kontrolü</w:t>
            </w:r>
          </w:p>
        </w:tc>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ST TMGD</w:t>
            </w:r>
          </w:p>
        </w:tc>
        <w:tc>
          <w:tcPr>
            <w:tcW w:type="dxa" w:w="1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Ürün, ambalaj, araç, sürücü, belge</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SUR.LOADING.v1</w:t>
            </w:r>
          </w:p>
        </w:tc>
        <w:tc>
          <w:tcPr>
            <w:tcW w:type="dxa" w:w="3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Yükleme gözetimi</w:t>
            </w:r>
          </w:p>
        </w:tc>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Survey Turk</w:t>
            </w:r>
          </w:p>
        </w:tc>
        <w:tc>
          <w:tcPr>
            <w:tcW w:type="dxa" w:w="1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Görev emri, kontrol planı, tarafsızlık</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ACA.COMPETENCY.v1</w:t>
            </w:r>
          </w:p>
        </w:tc>
        <w:tc>
          <w:tcPr>
            <w:tcW w:type="dxa" w:w="3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Görev bazlı yetkinlik programı</w:t>
            </w:r>
          </w:p>
        </w:tc>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3E Akademi</w:t>
            </w:r>
          </w:p>
        </w:tc>
        <w:tc>
          <w:tcPr>
            <w:tcW w:type="dxa" w:w="1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Rol, görev, açık, ölçme planı</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ENG.GAS.MEASURE.v1</w:t>
            </w:r>
          </w:p>
        </w:tc>
        <w:tc>
          <w:tcPr>
            <w:tcW w:type="dxa" w:w="3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Gaz ölçümü ve teknik rapor</w:t>
            </w:r>
          </w:p>
        </w:tc>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Fumigaz</w:t>
            </w:r>
          </w:p>
        </w:tc>
        <w:tc>
          <w:tcPr>
            <w:tcW w:type="dxa" w:w="1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Cihaz, kalibrasyon, saha/görev</w:t>
            </w:r>
          </w:p>
        </w:tc>
      </w:tr>
    </w:tbl>
    <w:p>
      <w:pPr>
        <w:spacing w:after="20"/>
      </w:pPr>
    </w:p>
    <w:p>
      <w:pPr>
        <w:pStyle w:val="Heading1"/>
        <w:keepNext/>
        <w:keepLines/>
      </w:pPr>
      <w:r>
        <w:t>6. Ana İş Süreci: Talep–İhtiyaç–Sonuç–Dağıtım</w:t>
      </w:r>
    </w:p>
    <w:p>
      <w:pPr>
        <w:spacing w:before="100" w:after="60"/>
        <w:jc w:val="center"/>
      </w:pPr>
      <w:r>
        <w:drawing>
          <wp:inline xmlns:a="http://schemas.openxmlformats.org/drawingml/2006/main" xmlns:pic="http://schemas.openxmlformats.org/drawingml/2006/picture">
            <wp:extent cx="5760720" cy="3486752"/>
            <wp:docPr id="2" name="Picture 2" descr="Şekil 2 — Müşteri talebinin 3E teşhisiyle çoklu hizmet paketine dönüşmesi" title="Şekil 2 — Müşteri talebinin 3E teşhisiyle çoklu hizmet paketine dönüşmesi"/>
            <wp:cNvGraphicFramePr>
              <a:graphicFrameLocks noChangeAspect="1"/>
            </wp:cNvGraphicFramePr>
            <a:graphic>
              <a:graphicData uri="http://schemas.openxmlformats.org/drawingml/2006/picture">
                <pic:pic>
                  <pic:nvPicPr>
                    <pic:cNvPr id="0" name="ana_akis.png"/>
                    <pic:cNvPicPr/>
                  </pic:nvPicPr>
                  <pic:blipFill>
                    <a:blip r:embed="rId10"/>
                    <a:stretch>
                      <a:fillRect/>
                    </a:stretch>
                  </pic:blipFill>
                  <pic:spPr>
                    <a:xfrm>
                      <a:off x="0" y="0"/>
                      <a:ext cx="5760720" cy="3486752"/>
                    </a:xfrm>
                    <a:prstGeom prst="rect"/>
                  </pic:spPr>
                </pic:pic>
              </a:graphicData>
            </a:graphic>
          </wp:inline>
        </w:drawing>
      </w:r>
    </w:p>
    <w:p>
      <w:pPr>
        <w:spacing w:before="0" w:after="140"/>
        <w:jc w:val="center"/>
      </w:pPr>
      <w:r>
        <w:rPr>
          <w:rFonts w:ascii="Calibri" w:hAnsi="Calibri" w:eastAsia="Calibri"/>
          <w:i/>
          <w:color w:val="5F6B76"/>
          <w:sz w:val="17"/>
        </w:rPr>
        <w:t>Şekil 2 — Müşteri talebinin 3E teşhisiyle çoklu hizmet paketine dönüşmesi</w:t>
      </w:r>
    </w:p>
    <w:p>
      <w:pPr>
        <w:pStyle w:val="Heading2"/>
        <w:keepNext/>
        <w:keepLines/>
      </w:pPr>
      <w:r>
        <w:t>6.1 Ana Durum Makinesi</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400"/>
        <w:gridCol w:w="4700"/>
        <w:gridCol w:w="2260"/>
      </w:tblGrid>
      <w:tr>
        <w:trPr>
          <w:trHeight w:hRule="auto"/>
          <w:tblHeader w:val="true"/>
          <w:cantSplit/>
        </w:trPr>
        <w:tc>
          <w:tcPr>
            <w:tcW w:type="dxa" w:w="24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Durum</w:t>
            </w:r>
          </w:p>
        </w:tc>
        <w:tc>
          <w:tcPr>
            <w:tcW w:type="dxa" w:w="47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Anlam</w:t>
            </w:r>
          </w:p>
        </w:tc>
        <w:tc>
          <w:tcPr>
            <w:tcW w:type="dxa" w:w="226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Sorumlu rol</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DRAFT</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Talep taslak</w:t>
            </w:r>
          </w:p>
        </w:tc>
        <w:tc>
          <w:tcPr>
            <w:tcW w:type="dxa" w:w="2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Talep sahibi</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SUBMITTED</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Gönderildi; ön kontrol bekliyor</w:t>
            </w:r>
          </w:p>
        </w:tc>
        <w:tc>
          <w:tcPr>
            <w:tcW w:type="dxa" w:w="2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Talep koordinatörü</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TRIAGE</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Acil/risk/kapsam sınıflaması</w:t>
            </w:r>
          </w:p>
        </w:tc>
        <w:tc>
          <w:tcPr>
            <w:tcW w:type="dxa" w:w="2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Çözüm mimarı</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DIAGNOSIS_REQUIRED</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3E teşhis ve kanıt toplama</w:t>
            </w:r>
          </w:p>
        </w:tc>
        <w:tc>
          <w:tcPr>
            <w:tcW w:type="dxa" w:w="2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Teşhis lideri</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SOLUTION_DESIGN</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Sonuç, hizmet grafiği, RACI ve maliyet tasarımı</w:t>
            </w:r>
          </w:p>
        </w:tc>
        <w:tc>
          <w:tcPr>
            <w:tcW w:type="dxa" w:w="2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Çözüm mimarı</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PROPOSAL_REVIEW</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İç kalite, kapasite, fiyat ve risk onayı</w:t>
            </w:r>
          </w:p>
        </w:tc>
        <w:tc>
          <w:tcPr>
            <w:tcW w:type="dxa" w:w="2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Marka/finans/kalite</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CUSTOMER_DECISION</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 teklif/başlangıç kararı</w:t>
            </w:r>
          </w:p>
        </w:tc>
        <w:tc>
          <w:tcPr>
            <w:tcW w:type="dxa" w:w="2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 sponsor</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ACTIVE</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Proje ve modül iş emirleri çalışıyor</w:t>
            </w:r>
          </w:p>
        </w:tc>
        <w:tc>
          <w:tcPr>
            <w:tcW w:type="dxa" w:w="2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Program yöneticisi</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BLOCKED</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Veri, karar, kapasite veya entegrasyon engeli</w:t>
            </w:r>
          </w:p>
        </w:tc>
        <w:tc>
          <w:tcPr>
            <w:tcW w:type="dxa" w:w="2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Engel sahibi</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VALIDATION</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Çıktı, kanıt, fayda ve kapanış doğrulaması</w:t>
            </w:r>
          </w:p>
        </w:tc>
        <w:tc>
          <w:tcPr>
            <w:tcW w:type="dxa" w:w="2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Güvence</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CLOSED</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Sonuç kabul edildi, öğrenme kaydı tamamlandı</w:t>
            </w:r>
          </w:p>
        </w:tc>
        <w:tc>
          <w:tcPr>
            <w:tcW w:type="dxa" w:w="2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Sonuç sahibi</w:t>
            </w:r>
          </w:p>
        </w:tc>
      </w:tr>
      <w:tr>
        <w:trPr>
          <w:trHeight w:hRule="auto"/>
          <w:cantSplit/>
        </w:trPr>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CANCELLED</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Gerekçeli iptal/durdurma</w:t>
            </w:r>
          </w:p>
        </w:tc>
        <w:tc>
          <w:tcPr>
            <w:tcW w:type="dxa" w:w="2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Yetkili karar sahibi</w:t>
            </w:r>
          </w:p>
        </w:tc>
      </w:tr>
    </w:tbl>
    <w:p>
      <w:pPr>
        <w:spacing w:after="20"/>
      </w:pPr>
    </w:p>
    <w:p>
      <w:pPr>
        <w:pStyle w:val="Heading2"/>
        <w:keepNext/>
        <w:keepLines/>
      </w:pPr>
      <w:r>
        <w:t>6.2 Sekiz Aşamalı 3E Teşhis Motoru</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900"/>
        <w:gridCol w:w="2200"/>
        <w:gridCol w:w="6260"/>
      </w:tblGrid>
      <w:tr>
        <w:trPr>
          <w:trHeight w:hRule="auto"/>
          <w:tblHeader w:val="true"/>
          <w:cantSplit/>
        </w:trPr>
        <w:tc>
          <w:tcPr>
            <w:tcW w:type="dxa" w:w="9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Aşama</w:t>
            </w:r>
          </w:p>
        </w:tc>
        <w:tc>
          <w:tcPr>
            <w:tcW w:type="dxa" w:w="22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Ad</w:t>
            </w:r>
          </w:p>
        </w:tc>
        <w:tc>
          <w:tcPr>
            <w:tcW w:type="dxa" w:w="626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Sistem işlemi</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1</w:t>
            </w:r>
          </w:p>
        </w:tc>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Kapsam</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Tenant, şirket/tesis/ürün/süreç ve kapsam dışı sınırları yaz</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2</w:t>
            </w:r>
          </w:p>
        </w:tc>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Ön bilgi</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İnsan, süreç, veri, performans, risk, müşteri, finans, ürün ve teknoloji bilgisi topla</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3</w:t>
            </w:r>
          </w:p>
        </w:tc>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Bireysel ön değerlendirme</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Yetkili paydaşların bağımsız puan ve görüşünü al</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4</w:t>
            </w:r>
          </w:p>
        </w:tc>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Kalibrasyon</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Farklı görüşleri kanıt üzerinden karşılaştır</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5</w:t>
            </w:r>
          </w:p>
        </w:tc>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Kanıt doğrulama</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Doküman, sistem verisi, görüşme, saha gözlemi ve ölçümü doğrula</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6</w:t>
            </w:r>
          </w:p>
        </w:tc>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Nihai değerlendirme</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Olgunluk, kanıt güveni, güçlü yön, risk ve ihtiyaç kaydı oluştur</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7</w:t>
            </w:r>
          </w:p>
        </w:tc>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Yönetim oturumu</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Kritik risk, hedef seviye, sonuç sahibi ve öncelikleri kararlaştır</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8</w:t>
            </w:r>
          </w:p>
        </w:tc>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Yol haritası</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90/180/365 gün; yatırım, KPI, bağımlılık ve modül dağıtımını oluştur</w:t>
            </w:r>
          </w:p>
        </w:tc>
      </w:tr>
    </w:tbl>
    <w:p>
      <w:pPr>
        <w:spacing w:after="20"/>
      </w:pPr>
    </w:p>
    <w:p>
      <w:pPr>
        <w:pStyle w:val="Heading2"/>
        <w:keepNext/>
        <w:keepLines/>
      </w:pPr>
      <w:r>
        <w:t>6.3 Teşhis Skorlama</w:t>
      </w:r>
    </w:p>
    <w:p>
      <w:pPr/>
      <w:r>
        <w:rPr>
          <w:rFonts w:ascii="Calibri" w:hAnsi="Calibri" w:eastAsia="Calibri"/>
          <w:i w:val="0"/>
          <w:color w:val="1F2933"/>
          <w:sz w:val="22"/>
        </w:rPr>
        <w:t>Skor, yönetim kararının yerine geçmez. Sistem üç ayrı değeri saklar: olgunluk puanı, kanıt güven düzeyi ve risk/etki puanı. Kanıtsız yüksek puan otomatik olarak düşürülür; kırmızı risk matematiksel ortalamadan bağımsız karar kapısı üretir.</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1900"/>
        <w:gridCol w:w="2100"/>
        <w:gridCol w:w="5360"/>
      </w:tblGrid>
      <w:tr>
        <w:trPr>
          <w:trHeight w:hRule="auto"/>
          <w:tblHeader w:val="true"/>
          <w:cantSplit/>
        </w:trPr>
        <w:tc>
          <w:tcPr>
            <w:tcW w:type="dxa" w:w="19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Boyut</w:t>
            </w:r>
          </w:p>
        </w:tc>
        <w:tc>
          <w:tcPr>
            <w:tcW w:type="dxa" w:w="21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Ölçek</w:t>
            </w:r>
          </w:p>
        </w:tc>
        <w:tc>
          <w:tcPr>
            <w:tcW w:type="dxa" w:w="53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Açıklama</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Olgunluk</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1–5</w:t>
            </w:r>
          </w:p>
        </w:tc>
        <w:tc>
          <w:tcPr>
            <w:tcW w:type="dxa" w:w="5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Parçalı → tanımlı → bütünleşik → ölçülebilir → öğrenen</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Kanıt güveni</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0,25 / 0,50 / 0,75 / 1,00</w:t>
            </w:r>
          </w:p>
        </w:tc>
        <w:tc>
          <w:tcPr>
            <w:tcW w:type="dxa" w:w="5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Varsayım / zayıf / güçlü / doğrulanmış</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Etki</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1–5</w:t>
            </w:r>
          </w:p>
        </w:tc>
        <w:tc>
          <w:tcPr>
            <w:tcW w:type="dxa" w:w="5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 güvenlik, uyum, finans, itibar ve sürdürülebilirlik etkisi</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Aciliyet</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1–5</w:t>
            </w:r>
          </w:p>
        </w:tc>
        <w:tc>
          <w:tcPr>
            <w:tcW w:type="dxa" w:w="5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Yasal tarih, olay riski, müşteri taahhüdü veya operasyonel kesinti</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Uygulanabilirlik</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1–5</w:t>
            </w:r>
          </w:p>
        </w:tc>
        <w:tc>
          <w:tcPr>
            <w:tcW w:type="dxa" w:w="5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Veri, sahiplik, kapasite, bütçe ve teknoloji hazırlığı</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Kırmızı risk</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E/H</w:t>
            </w:r>
          </w:p>
        </w:tc>
        <w:tc>
          <w:tcPr>
            <w:tcW w:type="dxa" w:w="5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İnsan güvenliği, ciddi hukuki beyan, kritik operasyon veya veri ihlali</w:t>
            </w:r>
          </w:p>
        </w:tc>
      </w:tr>
    </w:tbl>
    <w:p>
      <w:pPr>
        <w:spacing w:after="20"/>
      </w:pPr>
    </w:p>
    <w:p>
      <w:pPr>
        <w:pStyle w:val="Heading2"/>
        <w:keepNext/>
        <w:keepLines/>
      </w:pPr>
      <w:r>
        <w:t>6.4 Sorun ve Dönüşüm Cümlesi</w:t>
      </w:r>
    </w:p>
    <w:tbl>
      <w:tblPr>
        <w:tblStyle w:val="TableGrid"/>
        <w:tblW w:type="dxa" w:w="9360"/>
        <w:jc w:val="left"/>
        <w:tblLayout w:type="fixed"/>
        <w:tblLook w:firstColumn="1" w:firstRow="1" w:lastColumn="0" w:lastRow="0" w:noHBand="0" w:noVBand="1" w:val="04A0"/>
        <w:tblInd w:w="120" w:type="dxa"/>
        <w:tblBorders>
          <w:top w:val="single" w:sz="6" w:space="0" w:color="5F6B76"/>
          <w:left w:val="single" w:sz="6" w:space="0" w:color="5F6B76"/>
          <w:bottom w:val="single" w:sz="6" w:space="0" w:color="5F6B76"/>
          <w:right w:val="single" w:sz="6" w:space="0" w:color="5F6B76"/>
          <w:insideH w:val="single" w:sz="6" w:space="0" w:color="5F6B76"/>
          <w:insideV w:val="single" w:sz="6" w:space="0" w:color="5F6B76"/>
        </w:tblBorders>
      </w:tblPr>
      <w:tblGrid>
        <w:gridCol w:w="9360"/>
      </w:tblGrid>
      <w:tr>
        <w:trPr>
          <w:trHeight w:hRule="auto"/>
          <w:cantSplit/>
        </w:trPr>
        <w:tc>
          <w:tcPr>
            <w:tcW w:type="dxa" w:w="9360"/>
            <w:tcMar>
              <w:top w:w="140" w:type="dxa"/>
              <w:start w:w="180" w:type="dxa"/>
              <w:bottom w:w="140" w:type="dxa"/>
              <w:end w:w="180" w:type="dxa"/>
            </w:tcMar>
            <w:vAlign w:val="center"/>
            <w:shd w:fill="F2F4F7"/>
          </w:tcPr>
          <w:p>
            <w:pPr>
              <w:spacing w:after="60"/>
            </w:pPr>
            <w:r>
              <w:rPr>
                <w:rFonts w:ascii="Calibri" w:hAnsi="Calibri" w:eastAsia="Calibri"/>
                <w:b/>
                <w:color w:val="5F6B76"/>
                <w:sz w:val="18"/>
              </w:rPr>
              <w:t>SORUN FORMÜLÜ</w:t>
            </w:r>
          </w:p>
          <w:p>
            <w:pPr>
              <w:spacing w:before="0" w:after="0" w:line="269" w:lineRule="auto"/>
            </w:pPr>
            <w:r>
              <w:rPr>
                <w:rFonts w:ascii="Calibri" w:hAnsi="Calibri" w:eastAsia="Calibri"/>
                <w:color w:val="1F2933"/>
                <w:sz w:val="20"/>
              </w:rPr>
              <w:t>[Hangi süreçte], [hangi sistem eksikliği] nedeniyle [hangi beklenen sonuç gerçekleşememekte] ve [hangi risk/etki] oluşmaktadır.</w:t>
            </w:r>
          </w:p>
        </w:tc>
      </w:tr>
    </w:tbl>
    <w:p>
      <w:pPr>
        <w:spacing w:after="20"/>
      </w:pPr>
    </w:p>
    <w:tbl>
      <w:tblPr>
        <w:tblStyle w:val="TableGrid"/>
        <w:tblW w:type="dxa" w:w="9360"/>
        <w:jc w:val="left"/>
        <w:tblLayout w:type="fixed"/>
        <w:tblLook w:firstColumn="1" w:firstRow="1" w:lastColumn="0" w:lastRow="0" w:noHBand="0" w:noVBand="1" w:val="04A0"/>
        <w:tblInd w:w="120" w:type="dxa"/>
        <w:tblBorders>
          <w:top w:val="single" w:sz="6" w:space="0" w:color="1D7A78"/>
          <w:left w:val="single" w:sz="6" w:space="0" w:color="1D7A78"/>
          <w:bottom w:val="single" w:sz="6" w:space="0" w:color="1D7A78"/>
          <w:right w:val="single" w:sz="6" w:space="0" w:color="1D7A78"/>
          <w:insideH w:val="single" w:sz="6" w:space="0" w:color="1D7A78"/>
          <w:insideV w:val="single" w:sz="6" w:space="0" w:color="1D7A78"/>
        </w:tblBorders>
      </w:tblPr>
      <w:tblGrid>
        <w:gridCol w:w="9360"/>
      </w:tblGrid>
      <w:tr>
        <w:trPr>
          <w:trHeight w:hRule="auto"/>
          <w:cantSplit/>
        </w:trPr>
        <w:tc>
          <w:tcPr>
            <w:tcW w:type="dxa" w:w="9360"/>
            <w:tcMar>
              <w:top w:w="140" w:type="dxa"/>
              <w:start w:w="180" w:type="dxa"/>
              <w:bottom w:w="140" w:type="dxa"/>
              <w:end w:w="180" w:type="dxa"/>
            </w:tcMar>
            <w:vAlign w:val="center"/>
            <w:shd w:fill="E8F3F2"/>
          </w:tcPr>
          <w:p>
            <w:pPr>
              <w:spacing w:after="60"/>
            </w:pPr>
            <w:r>
              <w:rPr>
                <w:rFonts w:ascii="Calibri" w:hAnsi="Calibri" w:eastAsia="Calibri"/>
                <w:b/>
                <w:color w:val="1D7A78"/>
                <w:sz w:val="18"/>
              </w:rPr>
              <w:t>DÖNÜŞÜM FORMÜLÜ</w:t>
            </w:r>
          </w:p>
          <w:p>
            <w:pPr>
              <w:spacing w:before="0" w:after="0" w:line="269" w:lineRule="auto"/>
            </w:pPr>
            <w:r>
              <w:rPr>
                <w:rFonts w:ascii="Calibri" w:hAnsi="Calibri" w:eastAsia="Calibri"/>
                <w:color w:val="1F2933"/>
                <w:sz w:val="20"/>
              </w:rPr>
              <w:t>[Belirli tarihe kadar], [sonuç sahibi liderliğinde], [hangi değişiklikler yapılarak], [hangi ölçülebilir sonuç] ve [hangi kanıt] üretilecektir.</w:t>
            </w:r>
          </w:p>
        </w:tc>
      </w:tr>
    </w:tbl>
    <w:p>
      <w:pPr>
        <w:spacing w:after="20"/>
      </w:pPr>
    </w:p>
    <w:p>
      <w:pPr>
        <w:pStyle w:val="Heading1"/>
        <w:keepNext/>
        <w:keepLines/>
      </w:pPr>
      <w:r>
        <w:t>7. Hizmet Grafiği ve Dağıtım Motoru</w:t>
      </w:r>
    </w:p>
    <w:p>
      <w:pPr>
        <w:pStyle w:val="Heading2"/>
        <w:keepNext/>
        <w:keepLines/>
      </w:pPr>
      <w:r>
        <w:t>7.1 Hizmet Grafiği Kavramı</w:t>
      </w:r>
    </w:p>
    <w:p>
      <w:pPr/>
      <w:r>
        <w:rPr>
          <w:rFonts w:ascii="Calibri" w:hAnsi="Calibri" w:eastAsia="Calibri"/>
          <w:i w:val="0"/>
          <w:color w:val="1F2933"/>
          <w:sz w:val="22"/>
        </w:rPr>
        <w:t>Hizmet grafiği, seçilen ana sonuca ulaşmak için gerekli hizmet düğümlerini ve aralarındaki ilişkileri gösterir. Her düğüm tek bir modül/sağlayıcı iş emrine dönüşebilir; bazı düğümler yalnız karar kapısı veya kanıt kontrolüdür.</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200"/>
        <w:gridCol w:w="7160"/>
      </w:tblGrid>
      <w:tr>
        <w:trPr>
          <w:trHeight w:hRule="auto"/>
          <w:tblHeader w:val="true"/>
          <w:cantSplit/>
        </w:trPr>
        <w:tc>
          <w:tcPr>
            <w:tcW w:type="dxa" w:w="22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İlişki</w:t>
            </w:r>
          </w:p>
        </w:tc>
        <w:tc>
          <w:tcPr>
            <w:tcW w:type="dxa" w:w="716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Anlam</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REQUIRES</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 hizmeti B olmadan başlatılamaz</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TRIGGERS</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 sonucu B için otomatik aday/iş emri üretir</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ENRICHES</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 verisi B kararının kalitesini artırır; zorunlu değildir</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VALIDATES</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 B çıktısını bağımsız olarak doğrular</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BLOCKS</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 kararı çözülmeden B ilerleyemez</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ALTERNATIVE_TO</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 veya B’den biri seçilir</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FOLLOWS</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B, A tamamlandıktan sonra başlar</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FEEDS_BACK_TO</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 öğrenmesi B kural/eğitim/ürün sürümüne geri döner</w:t>
            </w:r>
          </w:p>
        </w:tc>
      </w:tr>
    </w:tbl>
    <w:p>
      <w:pPr>
        <w:spacing w:after="20"/>
      </w:pPr>
    </w:p>
    <w:p>
      <w:pPr>
        <w:pStyle w:val="Heading2"/>
        <w:keepNext/>
        <w:keepLines/>
      </w:pPr>
      <w:r>
        <w:t>7.2 Modül Uygunluk Puanı</w:t>
      </w:r>
    </w:p>
    <w:p>
      <w:pPr/>
      <w:r>
        <w:rPr>
          <w:rFonts w:ascii="Calibri" w:hAnsi="Calibri" w:eastAsia="Calibri"/>
          <w:i w:val="0"/>
          <w:color w:val="1F2933"/>
          <w:sz w:val="22"/>
        </w:rPr>
        <w:t>Routing motoru, modül adaylarını kural tabanlı filtreler; kalan adayları açıklanabilir bir uygunluk puanıyla sıralar. Zorunlu yasal/güvenlik hizmetleri puanla elenemez.</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800"/>
        <w:gridCol w:w="1200"/>
        <w:gridCol w:w="5360"/>
      </w:tblGrid>
      <w:tr>
        <w:trPr>
          <w:trHeight w:hRule="auto"/>
          <w:tblHeader w:val="true"/>
          <w:cantSplit/>
        </w:trPr>
        <w:tc>
          <w:tcPr>
            <w:tcW w:type="dxa" w:w="28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Bileşen</w:t>
            </w:r>
          </w:p>
        </w:tc>
        <w:tc>
          <w:tcPr>
            <w:tcW w:type="dxa" w:w="12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Ağırlık</w:t>
            </w:r>
          </w:p>
        </w:tc>
        <w:tc>
          <w:tcPr>
            <w:tcW w:type="dxa" w:w="536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Not</w:t>
            </w:r>
          </w:p>
        </w:tc>
      </w:tr>
      <w:tr>
        <w:trPr>
          <w:trHeight w:hRule="auto"/>
          <w:cantSplit/>
        </w:trPr>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İhtiyaç eşleşmesi</w:t>
            </w:r>
          </w:p>
        </w:tc>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%30</w:t>
            </w:r>
          </w:p>
        </w:tc>
        <w:tc>
          <w:tcPr>
            <w:tcW w:type="dxa" w:w="5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Teşhis boyutu ve hedef sonuçla doğrudan ilişki</w:t>
            </w:r>
          </w:p>
        </w:tc>
      </w:tr>
      <w:tr>
        <w:trPr>
          <w:trHeight w:hRule="auto"/>
          <w:cantSplit/>
        </w:trPr>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Risk azaltımı</w:t>
            </w:r>
          </w:p>
        </w:tc>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%20</w:t>
            </w:r>
          </w:p>
        </w:tc>
        <w:tc>
          <w:tcPr>
            <w:tcW w:type="dxa" w:w="5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Kırmızı risk ve yüksek etkiyi yönetme gücü</w:t>
            </w:r>
          </w:p>
        </w:tc>
      </w:tr>
      <w:tr>
        <w:trPr>
          <w:trHeight w:hRule="auto"/>
          <w:cantSplit/>
        </w:trPr>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Zorunlu kural</w:t>
            </w:r>
          </w:p>
        </w:tc>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Kapı</w:t>
            </w:r>
          </w:p>
        </w:tc>
        <w:tc>
          <w:tcPr>
            <w:tcW w:type="dxa" w:w="5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Yasal/sözleşmesel gereklilik; puanın önünde</w:t>
            </w:r>
          </w:p>
        </w:tc>
      </w:tr>
      <w:tr>
        <w:trPr>
          <w:trHeight w:hRule="auto"/>
          <w:cantSplit/>
        </w:trPr>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Veri hazırlığı</w:t>
            </w:r>
          </w:p>
        </w:tc>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%10</w:t>
            </w:r>
          </w:p>
        </w:tc>
        <w:tc>
          <w:tcPr>
            <w:tcW w:type="dxa" w:w="5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Gerekli girişlerin mevcut ve güvenilir olması</w:t>
            </w:r>
          </w:p>
        </w:tc>
      </w:tr>
      <w:tr>
        <w:trPr>
          <w:trHeight w:hRule="auto"/>
          <w:cantSplit/>
        </w:trPr>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Kapasite/SLA</w:t>
            </w:r>
          </w:p>
        </w:tc>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%10</w:t>
            </w:r>
          </w:p>
        </w:tc>
        <w:tc>
          <w:tcPr>
            <w:tcW w:type="dxa" w:w="5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Uzman, saha ve sistem kapasitesi</w:t>
            </w:r>
          </w:p>
        </w:tc>
      </w:tr>
      <w:tr>
        <w:trPr>
          <w:trHeight w:hRule="auto"/>
          <w:cantSplit/>
        </w:trPr>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Bağımlılık hazırlığı</w:t>
            </w:r>
          </w:p>
        </w:tc>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%10</w:t>
            </w:r>
          </w:p>
        </w:tc>
        <w:tc>
          <w:tcPr>
            <w:tcW w:type="dxa" w:w="5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Ön koşulların tamamlanma durumu</w:t>
            </w:r>
          </w:p>
        </w:tc>
      </w:tr>
      <w:tr>
        <w:trPr>
          <w:trHeight w:hRule="auto"/>
          <w:cantSplit/>
        </w:trPr>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 önceliği</w:t>
            </w:r>
          </w:p>
        </w:tc>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%10</w:t>
            </w:r>
          </w:p>
        </w:tc>
        <w:tc>
          <w:tcPr>
            <w:tcW w:type="dxa" w:w="5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Onaylı iş hedefi ve zaman</w:t>
            </w:r>
          </w:p>
        </w:tc>
      </w:tr>
      <w:tr>
        <w:trPr>
          <w:trHeight w:hRule="auto"/>
          <w:cantSplit/>
        </w:trPr>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Maliyet/fayda</w:t>
            </w:r>
          </w:p>
        </w:tc>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%10</w:t>
            </w:r>
          </w:p>
        </w:tc>
        <w:tc>
          <w:tcPr>
            <w:tcW w:type="dxa" w:w="5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Ölçülebilir fayda ve toplam yaşam döngüsü maliyeti</w:t>
            </w:r>
          </w:p>
        </w:tc>
      </w:tr>
    </w:tbl>
    <w:p>
      <w:pPr>
        <w:spacing w:after="20"/>
      </w:pPr>
    </w:p>
    <w:p>
      <w:pPr>
        <w:pStyle w:val="Heading2"/>
        <w:keepNext/>
        <w:keepLines/>
      </w:pPr>
      <w:r>
        <w:t>7.3 Dağıtım Kuralları</w:t>
      </w:r>
    </w:p>
    <w:p>
      <w:pPr>
        <w:numPr>
          <w:ilvl w:val="0"/>
          <w:numId w:val="10"/>
        </w:numPr>
        <w:spacing w:before="0" w:after="80" w:line="280" w:lineRule="auto"/>
        <w:ind w:left="720" w:hanging="360"/>
      </w:pPr>
      <w:r>
        <w:rPr>
          <w:rFonts w:ascii="Calibri" w:hAnsi="Calibri" w:eastAsia="Calibri"/>
          <w:color w:val="1F2933"/>
          <w:sz w:val="22"/>
        </w:rPr>
        <w:t>Her iş emrinin tek Accountable sahibi bulunur; birden fazla modül katılabilir ancak sonuç sahipsiz kalmaz.</w:t>
      </w:r>
    </w:p>
    <w:p>
      <w:pPr>
        <w:numPr>
          <w:ilvl w:val="0"/>
          <w:numId w:val="10"/>
        </w:numPr>
        <w:spacing w:before="0" w:after="80" w:line="280" w:lineRule="auto"/>
        <w:ind w:left="720" w:hanging="360"/>
      </w:pPr>
      <w:r>
        <w:rPr>
          <w:rFonts w:ascii="Calibri" w:hAnsi="Calibri" w:eastAsia="Calibri"/>
          <w:color w:val="1F2933"/>
          <w:sz w:val="22"/>
        </w:rPr>
        <w:t>Aynı veri farklı modülce isteniyorsa orkestratör mevcut, geçerli ve yetkili veriyi yeniden kullanır.</w:t>
      </w:r>
    </w:p>
    <w:p>
      <w:pPr>
        <w:numPr>
          <w:ilvl w:val="0"/>
          <w:numId w:val="10"/>
        </w:numPr>
        <w:spacing w:before="0" w:after="80" w:line="280" w:lineRule="auto"/>
        <w:ind w:left="720" w:hanging="360"/>
      </w:pPr>
      <w:r>
        <w:rPr>
          <w:rFonts w:ascii="Calibri" w:hAnsi="Calibri" w:eastAsia="Calibri"/>
          <w:color w:val="1F2933"/>
          <w:sz w:val="22"/>
        </w:rPr>
        <w:t>Eksik girişler toplu ve anlaşılır veri talebi olarak müşteriye/tedarikçiye iletilir; modül bazlı tekrar e-posta üretilmez.</w:t>
      </w:r>
    </w:p>
    <w:p>
      <w:pPr>
        <w:numPr>
          <w:ilvl w:val="0"/>
          <w:numId w:val="10"/>
        </w:numPr>
        <w:spacing w:before="0" w:after="80" w:line="280" w:lineRule="auto"/>
        <w:ind w:left="720" w:hanging="360"/>
      </w:pPr>
      <w:r>
        <w:rPr>
          <w:rFonts w:ascii="Calibri" w:hAnsi="Calibri" w:eastAsia="Calibri"/>
          <w:color w:val="1F2933"/>
          <w:sz w:val="22"/>
        </w:rPr>
        <w:t>Kritik modül kapasitesi yoksa otomatik alternatif sağlayıcı önerilir; atama insan onayı ister.</w:t>
      </w:r>
    </w:p>
    <w:p>
      <w:pPr>
        <w:numPr>
          <w:ilvl w:val="0"/>
          <w:numId w:val="10"/>
        </w:numPr>
        <w:spacing w:before="0" w:after="80" w:line="280" w:lineRule="auto"/>
        <w:ind w:left="720" w:hanging="360"/>
      </w:pPr>
      <w:r>
        <w:rPr>
          <w:rFonts w:ascii="Calibri" w:hAnsi="Calibri" w:eastAsia="Calibri"/>
          <w:color w:val="1F2933"/>
          <w:sz w:val="22"/>
        </w:rPr>
        <w:t>Bağımsız doğrulama gereken işlerde danışmanlık ve güvence rolleri görev ayrılığıyla atanır.</w:t>
      </w:r>
    </w:p>
    <w:p>
      <w:pPr>
        <w:numPr>
          <w:ilvl w:val="0"/>
          <w:numId w:val="10"/>
        </w:numPr>
        <w:spacing w:before="0" w:after="80" w:line="280" w:lineRule="auto"/>
        <w:ind w:left="720" w:hanging="360"/>
      </w:pPr>
      <w:r>
        <w:rPr>
          <w:rFonts w:ascii="Calibri" w:hAnsi="Calibri" w:eastAsia="Calibri"/>
          <w:color w:val="1F2933"/>
          <w:sz w:val="22"/>
        </w:rPr>
        <w:t>Markalar arası maliyet, gelir payı ve SLA sözleşmesi teklif onayından önce dondurulur.</w:t>
      </w:r>
    </w:p>
    <w:p>
      <w:pPr>
        <w:numPr>
          <w:ilvl w:val="0"/>
          <w:numId w:val="10"/>
        </w:numPr>
        <w:spacing w:before="0" w:after="80" w:line="280" w:lineRule="auto"/>
        <w:ind w:left="720" w:hanging="360"/>
      </w:pPr>
      <w:r>
        <w:rPr>
          <w:rFonts w:ascii="Calibri" w:hAnsi="Calibri" w:eastAsia="Calibri"/>
          <w:color w:val="1F2933"/>
          <w:sz w:val="22"/>
        </w:rPr>
        <w:t>Bir modül başarısız olduğunda tüm proje körlemesine iptal edilmez; bağımlı düğümler bekletilir ve telafi/alternatif yol değerlendirilir.</w:t>
      </w:r>
    </w:p>
    <w:p>
      <w:pPr>
        <w:pStyle w:val="Heading1"/>
        <w:keepNext/>
        <w:keepLines/>
      </w:pPr>
      <w:r>
        <w:t>8. Modüller Arası Örnek Hizmet Senaryoları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1700"/>
        <w:gridCol w:w="1800"/>
        <w:gridCol w:w="3500"/>
        <w:gridCol w:w="2360"/>
      </w:tblGrid>
      <w:tr>
        <w:trPr>
          <w:trHeight w:hRule="auto"/>
          <w:tblHeader w:val="true"/>
          <w:cantSplit/>
        </w:trPr>
        <w:tc>
          <w:tcPr>
            <w:tcW w:type="dxa" w:w="17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Başlangıç talebi</w:t>
            </w:r>
          </w:p>
        </w:tc>
        <w:tc>
          <w:tcPr>
            <w:tcW w:type="dxa" w:w="18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Birincil modül</w:t>
            </w:r>
          </w:p>
        </w:tc>
        <w:tc>
          <w:tcPr>
            <w:tcW w:type="dxa" w:w="35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Tetiklenen yapılar</w:t>
            </w:r>
          </w:p>
        </w:tc>
        <w:tc>
          <w:tcPr>
            <w:tcW w:type="dxa" w:w="236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Birleşik çıktı</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EUDR talebi</w:t>
            </w:r>
          </w:p>
        </w:tc>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Carbonless kapsam + DDS</w:t>
            </w:r>
          </w:p>
        </w:tc>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Ürün ağacı/tedarikçi portalı; gerekirse Survey Turk; satın alma yetkinliği için 3E Akademi</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DDS dosyası, risk kararı, kanıt tamlığı</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CBAM hesabı</w:t>
            </w:r>
          </w:p>
        </w:tc>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Carbonless CBAM</w:t>
            </w:r>
          </w:p>
        </w:tc>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GTİP/menşe; tedarikçi emisyon verisi; enerji/lojistik verisi; yönetim maliyet paneli</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Hesaplama, veri kalite skoru, mali yük senaryosu</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PPWR uyumu</w:t>
            </w:r>
          </w:p>
        </w:tc>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Carbonless PPWR</w:t>
            </w:r>
          </w:p>
        </w:tc>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Ambalaj BOM; DG modülüyle tehlikeli madde ambalaj istisnaları; tedarikçi portalı; KawaTech ürün ambalajı</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Uyum matrisi, aksiyon, tasarım değişikliği</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ADR operasyonu</w:t>
            </w:r>
          </w:p>
        </w:tc>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ST TMGD + DG</w:t>
            </w:r>
          </w:p>
        </w:tc>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Logfiks araç/sürücü; Academy yetkinlik; Survey saha doğrulama; olay kaydı</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Operasyon hazır oluş ve uygunsuzluk kapanışı</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Gözetim talebi</w:t>
            </w:r>
          </w:p>
        </w:tc>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Survey Turk</w:t>
            </w:r>
          </w:p>
        </w:tc>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Tarafsızlık kontrolü; kontrol planı; Fumigaz ölçüm; danışmanlık/eğitim geri beslemesi</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Saha raporu, kanıt seti, doğrulama</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KawaTech enerji projesi</w:t>
            </w:r>
          </w:p>
        </w:tc>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KawaTech + Graceful</w:t>
            </w:r>
          </w:p>
        </w:tc>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IF DIGIT izleme; Carbonless enerji/karbon; Survey devreye alma doğrulaması; Academy kullanıcı eğitimi</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Tasarruf, kurulu güç, garanti ve performans</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Kurumsal dönüşüm</w:t>
            </w:r>
          </w:p>
        </w:tc>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3E Core + 3e Lojistik</w:t>
            </w:r>
          </w:p>
        </w:tc>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Olgunluk; süreç/veri/karar haritası; IF DIGIT; Academy; fayda paneli</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90/180/365 gün yol haritası ve ölçülebilir sonuç</w:t>
            </w:r>
          </w:p>
        </w:tc>
      </w:tr>
    </w:tbl>
    <w:p>
      <w:pPr>
        <w:spacing w:after="20"/>
      </w:pPr>
    </w:p>
    <w:p>
      <w:pPr>
        <w:spacing w:before="100" w:after="60"/>
        <w:jc w:val="center"/>
      </w:pPr>
      <w:r>
        <w:drawing>
          <wp:inline xmlns:a="http://schemas.openxmlformats.org/drawingml/2006/main" xmlns:pic="http://schemas.openxmlformats.org/drawingml/2006/picture">
            <wp:extent cx="5760720" cy="3456432"/>
            <wp:docPr id="3" name="Picture 3" descr="Şekil 3 — Olay tabanlı modül tetikleme örneği" title="Şekil 3 — Olay tabanlı modül tetikleme örneği"/>
            <wp:cNvGraphicFramePr>
              <a:graphicFrameLocks noChangeAspect="1"/>
            </wp:cNvGraphicFramePr>
            <a:graphic>
              <a:graphicData uri="http://schemas.openxmlformats.org/drawingml/2006/picture">
                <pic:pic>
                  <pic:nvPicPr>
                    <pic:cNvPr id="0" name="olay_zinciri.png"/>
                    <pic:cNvPicPr/>
                  </pic:nvPicPr>
                  <pic:blipFill>
                    <a:blip r:embed="rId11"/>
                    <a:stretch>
                      <a:fillRect/>
                    </a:stretch>
                  </pic:blipFill>
                  <pic:spPr>
                    <a:xfrm>
                      <a:off x="0" y="0"/>
                      <a:ext cx="5760720" cy="3456432"/>
                    </a:xfrm>
                    <a:prstGeom prst="rect"/>
                  </pic:spPr>
                </pic:pic>
              </a:graphicData>
            </a:graphic>
          </wp:inline>
        </w:drawing>
      </w:r>
    </w:p>
    <w:p>
      <w:pPr>
        <w:spacing w:before="0" w:after="140"/>
        <w:jc w:val="center"/>
      </w:pPr>
      <w:r>
        <w:rPr>
          <w:rFonts w:ascii="Calibri" w:hAnsi="Calibri" w:eastAsia="Calibri"/>
          <w:i/>
          <w:color w:val="5F6B76"/>
          <w:sz w:val="17"/>
        </w:rPr>
        <w:t>Şekil 3 — Olay tabanlı modül tetikleme örneği</w:t>
      </w:r>
    </w:p>
    <w:p>
      <w:pPr>
        <w:pStyle w:val="Heading1"/>
        <w:keepNext/>
        <w:keepLines/>
      </w:pPr>
      <w:r>
        <w:t>9. Modül Kataloğu ve Fonksiyonel Gereksinimler</w:t>
      </w:r>
    </w:p>
    <w:p>
      <w:pPr>
        <w:pStyle w:val="Heading2"/>
        <w:keepNext/>
        <w:keepLines/>
      </w:pPr>
      <w:r>
        <w:t>9.1 3E Core ve Teşhis</w:t>
      </w:r>
    </w:p>
    <w:p>
      <w:pPr/>
      <w:r>
        <w:rPr>
          <w:rFonts w:ascii="Calibri" w:hAnsi="Calibri" w:eastAsia="Calibri"/>
          <w:b/>
          <w:color w:val="1F2933"/>
          <w:sz w:val="22"/>
        </w:rPr>
        <w:t>Amaç:</w:t>
      </w:r>
      <w:r>
        <w:rPr>
          <w:rFonts w:ascii="Calibri" w:hAnsi="Calibri" w:eastAsia="Calibri"/>
          <w:i w:val="0"/>
          <w:color w:val="1F2933"/>
          <w:sz w:val="22"/>
        </w:rPr>
        <w:t xml:space="preserve"> Talep–ihtiyaç ayrımı, olgunluk, sonuç ve yol haritası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5600"/>
        <w:gridCol w:w="3760"/>
      </w:tblGrid>
      <w:tr>
        <w:trPr>
          <w:trHeight w:hRule="auto"/>
          <w:tblHeader w:val="true"/>
          <w:cantSplit/>
        </w:trPr>
        <w:tc>
          <w:tcPr>
            <w:tcW w:type="dxa" w:w="56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Fonksiyonlar</w:t>
            </w:r>
          </w:p>
        </w:tc>
        <w:tc>
          <w:tcPr>
            <w:tcW w:type="dxa" w:w="37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Temel varlıklar</w:t>
            </w:r>
          </w:p>
        </w:tc>
      </w:tr>
      <w:tr>
        <w:trPr>
          <w:trHeight w:hRule="auto"/>
          <w:cantSplit/>
        </w:trPr>
        <w:tc>
          <w:tcPr>
            <w:tcW w:type="dxa" w:w="5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Talep kartı ve kapsam • 360 tarama ve soru bankası • Kanıt güvenli skorlama • Sorun/dönüşüm cümlesi • Öncelik matrisi • 90/180/365 gün yol haritası • Fayda gerçekleşme ve öğrenme</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request, diagnosis, assessment, finding, outcome, roadmap, benefit, learning</w:t>
            </w:r>
          </w:p>
        </w:tc>
      </w:tr>
    </w:tbl>
    <w:p>
      <w:pPr>
        <w:spacing w:after="20"/>
      </w:pPr>
    </w:p>
    <w:p>
      <w:pPr>
        <w:pStyle w:val="Heading2"/>
        <w:keepNext/>
        <w:keepLines/>
      </w:pPr>
      <w:r>
        <w:t>9.2 CRM, Teklif ve Proje</w:t>
      </w:r>
    </w:p>
    <w:p>
      <w:pPr/>
      <w:r>
        <w:rPr>
          <w:rFonts w:ascii="Calibri" w:hAnsi="Calibri" w:eastAsia="Calibri"/>
          <w:b/>
          <w:color w:val="1F2933"/>
          <w:sz w:val="22"/>
        </w:rPr>
        <w:t>Amaç:</w:t>
      </w:r>
      <w:r>
        <w:rPr>
          <w:rFonts w:ascii="Calibri" w:hAnsi="Calibri" w:eastAsia="Calibri"/>
          <w:i w:val="0"/>
          <w:color w:val="1F2933"/>
          <w:sz w:val="22"/>
        </w:rPr>
        <w:t xml:space="preserve"> Tek müşteri hesabı altında fırsat, teklif ve hizmet yaşam döngüsü</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5600"/>
        <w:gridCol w:w="3760"/>
      </w:tblGrid>
      <w:tr>
        <w:trPr>
          <w:trHeight w:hRule="auto"/>
          <w:tblHeader w:val="true"/>
          <w:cantSplit/>
        </w:trPr>
        <w:tc>
          <w:tcPr>
            <w:tcW w:type="dxa" w:w="56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Fonksiyonlar</w:t>
            </w:r>
          </w:p>
        </w:tc>
        <w:tc>
          <w:tcPr>
            <w:tcW w:type="dxa" w:w="37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Temel varlıklar</w:t>
            </w:r>
          </w:p>
        </w:tc>
      </w:tr>
      <w:tr>
        <w:trPr>
          <w:trHeight w:hRule="auto"/>
          <w:cantSplit/>
        </w:trPr>
        <w:tc>
          <w:tcPr>
            <w:tcW w:type="dxa" w:w="5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Müşteri/organizasyon hiyerarşisi • Fırsat ve talep havuzu • Kompozit teklif • Kapasite ve iç onay • Sözleşme/SLA referansı • Proje, bütçe ve iş emri • Markalar arası gelir paylaşımı referansı</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account, opportunity, proposal, proposal_line, project, work_order, provider_share</w:t>
            </w:r>
          </w:p>
        </w:tc>
      </w:tr>
    </w:tbl>
    <w:p>
      <w:pPr>
        <w:spacing w:after="20"/>
      </w:pPr>
    </w:p>
    <w:p>
      <w:pPr>
        <w:pStyle w:val="Heading2"/>
        <w:keepNext/>
        <w:keepLines/>
      </w:pPr>
      <w:r>
        <w:t>9.3 Tehlikeli Madde Uyum</w:t>
      </w:r>
    </w:p>
    <w:p>
      <w:pPr/>
      <w:r>
        <w:rPr>
          <w:rFonts w:ascii="Calibri" w:hAnsi="Calibri" w:eastAsia="Calibri"/>
          <w:b/>
          <w:color w:val="1F2933"/>
          <w:sz w:val="22"/>
        </w:rPr>
        <w:t>Amaç:</w:t>
      </w:r>
      <w:r>
        <w:rPr>
          <w:rFonts w:ascii="Calibri" w:hAnsi="Calibri" w:eastAsia="Calibri"/>
          <w:i w:val="0"/>
          <w:color w:val="1F2933"/>
          <w:sz w:val="22"/>
        </w:rPr>
        <w:t xml:space="preserve"> ADR/RID/IMDG/DGR ve multimodal güvence</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5600"/>
        <w:gridCol w:w="3760"/>
      </w:tblGrid>
      <w:tr>
        <w:trPr>
          <w:trHeight w:hRule="auto"/>
          <w:tblHeader w:val="true"/>
          <w:cantSplit/>
        </w:trPr>
        <w:tc>
          <w:tcPr>
            <w:tcW w:type="dxa" w:w="56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Fonksiyonlar</w:t>
            </w:r>
          </w:p>
        </w:tc>
        <w:tc>
          <w:tcPr>
            <w:tcW w:type="dxa" w:w="37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Temel varlıklar</w:t>
            </w:r>
          </w:p>
        </w:tc>
      </w:tr>
      <w:tr>
        <w:trPr>
          <w:trHeight w:hRule="auto"/>
          <w:cantSplit/>
        </w:trPr>
        <w:tc>
          <w:tcPr>
            <w:tcW w:type="dxa" w:w="5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Ürün/UN sınıflandırma • Görev/sorumluluk matrisi • Ambalaj/tank/lityum pil kontrolü • Araç-sürücü-yük uygunluğu • Mevzuat sürümü ve kontrol listesi • Olay/uygunsuzluk • TMGD ziyaret ve rapor planı</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dangerous_good, classification, transport_operation, dg_check, incident, tmgd_visit</w:t>
            </w:r>
          </w:p>
        </w:tc>
      </w:tr>
    </w:tbl>
    <w:p>
      <w:pPr>
        <w:spacing w:after="20"/>
      </w:pPr>
    </w:p>
    <w:p>
      <w:pPr>
        <w:pStyle w:val="Heading2"/>
        <w:keepNext/>
        <w:keepLines/>
      </w:pPr>
      <w:r>
        <w:t>9.4 3E Akademi</w:t>
      </w:r>
    </w:p>
    <w:p>
      <w:pPr/>
      <w:r>
        <w:rPr>
          <w:rFonts w:ascii="Calibri" w:hAnsi="Calibri" w:eastAsia="Calibri"/>
          <w:b/>
          <w:color w:val="1F2933"/>
          <w:sz w:val="22"/>
        </w:rPr>
        <w:t>Amaç:</w:t>
      </w:r>
      <w:r>
        <w:rPr>
          <w:rFonts w:ascii="Calibri" w:hAnsi="Calibri" w:eastAsia="Calibri"/>
          <w:i w:val="0"/>
          <w:color w:val="1F2933"/>
          <w:sz w:val="22"/>
        </w:rPr>
        <w:t xml:space="preserve"> Eğitimden görev bazlı yetkinlik ve yetkilendirmeye</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5600"/>
        <w:gridCol w:w="3760"/>
      </w:tblGrid>
      <w:tr>
        <w:trPr>
          <w:trHeight w:hRule="auto"/>
          <w:tblHeader w:val="true"/>
          <w:cantSplit/>
        </w:trPr>
        <w:tc>
          <w:tcPr>
            <w:tcW w:type="dxa" w:w="56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Fonksiyonlar</w:t>
            </w:r>
          </w:p>
        </w:tc>
        <w:tc>
          <w:tcPr>
            <w:tcW w:type="dxa" w:w="37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Temel varlıklar</w:t>
            </w:r>
          </w:p>
        </w:tc>
      </w:tr>
      <w:tr>
        <w:trPr>
          <w:trHeight w:hRule="auto"/>
          <w:cantSplit/>
        </w:trPr>
        <w:tc>
          <w:tcPr>
            <w:tcW w:type="dxa" w:w="5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Program/müfredat sürümü • Eğitmen yetkinliği • Katılımcı ve ön koşul • Ön/son test • Saha gözlemi • Yetkinlik matrisi • Sertifika/geçerlilik • Gözetimli uygulayıcı ve mentor akışı</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course, curriculum_version, session, participant, assessment_result, competency, authorization</w:t>
            </w:r>
          </w:p>
        </w:tc>
      </w:tr>
    </w:tbl>
    <w:p>
      <w:pPr>
        <w:spacing w:after="20"/>
      </w:pPr>
    </w:p>
    <w:p>
      <w:pPr>
        <w:pStyle w:val="Heading2"/>
        <w:keepNext/>
        <w:keepLines/>
      </w:pPr>
      <w:r>
        <w:t>9.5 Survey Turk</w:t>
      </w:r>
    </w:p>
    <w:p>
      <w:pPr/>
      <w:r>
        <w:rPr>
          <w:rFonts w:ascii="Calibri" w:hAnsi="Calibri" w:eastAsia="Calibri"/>
          <w:b/>
          <w:color w:val="1F2933"/>
          <w:sz w:val="22"/>
        </w:rPr>
        <w:t>Amaç:</w:t>
      </w:r>
      <w:r>
        <w:rPr>
          <w:rFonts w:ascii="Calibri" w:hAnsi="Calibri" w:eastAsia="Calibri"/>
          <w:i w:val="0"/>
          <w:color w:val="1F2933"/>
          <w:sz w:val="22"/>
        </w:rPr>
        <w:t xml:space="preserve"> Bağımsız saha kanıtı ve teknik doğrulama</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5600"/>
        <w:gridCol w:w="3760"/>
      </w:tblGrid>
      <w:tr>
        <w:trPr>
          <w:trHeight w:hRule="auto"/>
          <w:tblHeader w:val="true"/>
          <w:cantSplit/>
        </w:trPr>
        <w:tc>
          <w:tcPr>
            <w:tcW w:type="dxa" w:w="56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Fonksiyonlar</w:t>
            </w:r>
          </w:p>
        </w:tc>
        <w:tc>
          <w:tcPr>
            <w:tcW w:type="dxa" w:w="37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Temel varlıklar</w:t>
            </w:r>
          </w:p>
        </w:tc>
      </w:tr>
      <w:tr>
        <w:trPr>
          <w:trHeight w:hRule="auto"/>
          <w:cantSplit/>
        </w:trPr>
        <w:tc>
          <w:tcPr>
            <w:tcW w:type="dxa" w:w="5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Hizmet kodu ve tarafsızlık • Görevlendirme • Kontrol planı • Çevrimdışı saha formu • Fotoğraf/konum/zaman/ölçüm • Uygunsuzluk • Rapor ve kapanış doğrulama</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survey_assignment, inspection_plan, field_observation, measurement, nonconformity, survey_report</w:t>
            </w:r>
          </w:p>
        </w:tc>
      </w:tr>
    </w:tbl>
    <w:p>
      <w:pPr>
        <w:spacing w:after="20"/>
      </w:pPr>
    </w:p>
    <w:p>
      <w:pPr>
        <w:pStyle w:val="Heading2"/>
        <w:keepNext/>
        <w:keepLines/>
      </w:pPr>
      <w:r>
        <w:t>9.6 Logfiks</w:t>
      </w:r>
    </w:p>
    <w:p>
      <w:pPr/>
      <w:r>
        <w:rPr>
          <w:rFonts w:ascii="Calibri" w:hAnsi="Calibri" w:eastAsia="Calibri"/>
          <w:b/>
          <w:color w:val="1F2933"/>
          <w:sz w:val="22"/>
        </w:rPr>
        <w:t>Amaç:</w:t>
      </w:r>
      <w:r>
        <w:rPr>
          <w:rFonts w:ascii="Calibri" w:hAnsi="Calibri" w:eastAsia="Calibri"/>
          <w:i w:val="0"/>
          <w:color w:val="1F2933"/>
          <w:sz w:val="22"/>
        </w:rPr>
        <w:t xml:space="preserve"> Araç, sürücü, belge, rota, görev ve operasyon</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5600"/>
        <w:gridCol w:w="3760"/>
      </w:tblGrid>
      <w:tr>
        <w:trPr>
          <w:trHeight w:hRule="auto"/>
          <w:tblHeader w:val="true"/>
          <w:cantSplit/>
        </w:trPr>
        <w:tc>
          <w:tcPr>
            <w:tcW w:type="dxa" w:w="56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Fonksiyonlar</w:t>
            </w:r>
          </w:p>
        </w:tc>
        <w:tc>
          <w:tcPr>
            <w:tcW w:type="dxa" w:w="37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Temel varlıklar</w:t>
            </w:r>
          </w:p>
        </w:tc>
      </w:tr>
      <w:tr>
        <w:trPr>
          <w:trHeight w:hRule="auto"/>
          <w:cantSplit/>
        </w:trPr>
        <w:tc>
          <w:tcPr>
            <w:tcW w:type="dxa" w:w="5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Araç/sürücü ana verisi • Belge ve geçerlilik • Görev-yetkinlik eşleşmesi • Sevkiyat ve rota • Operasyon öncesi kontrol • Olay/ramak kala • TMGD ve saha görev entegrasyonu</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vehicle, driver, credential, route, shipment, assignment, logistics_event</w:t>
            </w:r>
          </w:p>
        </w:tc>
      </w:tr>
    </w:tbl>
    <w:p>
      <w:pPr>
        <w:spacing w:after="20"/>
      </w:pPr>
    </w:p>
    <w:p>
      <w:pPr>
        <w:pStyle w:val="Heading2"/>
        <w:keepNext/>
        <w:keepLines/>
      </w:pPr>
      <w:r>
        <w:t>9.7 IF DIGIT</w:t>
      </w:r>
    </w:p>
    <w:p>
      <w:pPr/>
      <w:r>
        <w:rPr>
          <w:rFonts w:ascii="Calibri" w:hAnsi="Calibri" w:eastAsia="Calibri"/>
          <w:b/>
          <w:color w:val="1F2933"/>
          <w:sz w:val="22"/>
        </w:rPr>
        <w:t>Amaç:</w:t>
      </w:r>
      <w:r>
        <w:rPr>
          <w:rFonts w:ascii="Calibri" w:hAnsi="Calibri" w:eastAsia="Calibri"/>
          <w:i w:val="0"/>
          <w:color w:val="1F2933"/>
          <w:sz w:val="22"/>
        </w:rPr>
        <w:t xml:space="preserve"> Kuruma özgü süreç ve entegrasyon çözüm katmanı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5600"/>
        <w:gridCol w:w="3760"/>
      </w:tblGrid>
      <w:tr>
        <w:trPr>
          <w:trHeight w:hRule="auto"/>
          <w:tblHeader w:val="true"/>
          <w:cantSplit/>
        </w:trPr>
        <w:tc>
          <w:tcPr>
            <w:tcW w:type="dxa" w:w="56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Fonksiyonlar</w:t>
            </w:r>
          </w:p>
        </w:tc>
        <w:tc>
          <w:tcPr>
            <w:tcW w:type="dxa" w:w="37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Temel varlıklar</w:t>
            </w:r>
          </w:p>
        </w:tc>
      </w:tr>
      <w:tr>
        <w:trPr>
          <w:trHeight w:hRule="auto"/>
          <w:cantSplit/>
        </w:trPr>
        <w:tc>
          <w:tcPr>
            <w:tcW w:type="dxa" w:w="5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Özel form ve veri toplama • Workflow konfigürasyonu • RACI/görev/aksiyon • Kanıt/doküman • Gösterge paneli • Sistem entegrasyonu • Müşteri özel modül</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custom_form, workflow_definition, dashboard, connector, customer_extension</w:t>
            </w:r>
          </w:p>
        </w:tc>
      </w:tr>
    </w:tbl>
    <w:p>
      <w:pPr>
        <w:spacing w:after="20"/>
      </w:pPr>
    </w:p>
    <w:p>
      <w:pPr>
        <w:pStyle w:val="Heading2"/>
        <w:keepNext/>
        <w:keepLines/>
      </w:pPr>
      <w:r>
        <w:t>9.8 Sürdürülebilirlik</w:t>
      </w:r>
    </w:p>
    <w:p>
      <w:pPr/>
      <w:r>
        <w:rPr>
          <w:rFonts w:ascii="Calibri" w:hAnsi="Calibri" w:eastAsia="Calibri"/>
          <w:b/>
          <w:color w:val="1F2933"/>
          <w:sz w:val="22"/>
        </w:rPr>
        <w:t>Amaç:</w:t>
      </w:r>
      <w:r>
        <w:rPr>
          <w:rFonts w:ascii="Calibri" w:hAnsi="Calibri" w:eastAsia="Calibri"/>
          <w:i w:val="0"/>
          <w:color w:val="1F2933"/>
          <w:sz w:val="22"/>
        </w:rPr>
        <w:t xml:space="preserve"> CBAM, EUDR/DDS, PPWR, karbon, su ve enerji</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5600"/>
        <w:gridCol w:w="3760"/>
      </w:tblGrid>
      <w:tr>
        <w:trPr>
          <w:trHeight w:hRule="auto"/>
          <w:tblHeader w:val="true"/>
          <w:cantSplit/>
        </w:trPr>
        <w:tc>
          <w:tcPr>
            <w:tcW w:type="dxa" w:w="56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Fonksiyonlar</w:t>
            </w:r>
          </w:p>
        </w:tc>
        <w:tc>
          <w:tcPr>
            <w:tcW w:type="dxa" w:w="37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Temel varlıklar</w:t>
            </w:r>
          </w:p>
        </w:tc>
      </w:tr>
      <w:tr>
        <w:trPr>
          <w:trHeight w:hRule="auto"/>
          <w:cantSplit/>
        </w:trPr>
        <w:tc>
          <w:tcPr>
            <w:tcW w:type="dxa" w:w="5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Kapsam karar ağacı • Ürün/malzeme/ambalaj BOM • Tedarikçi veri talebi • Menşe/geolokasyon • Emisyon/enerji/su verisi • Hesaplama motoru • Risk ve due diligence • Rapor/beyan paketi</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product_material, supplier_facility, origin_evidence, emission_record, packaging_component, due_diligence_case</w:t>
            </w:r>
          </w:p>
        </w:tc>
      </w:tr>
    </w:tbl>
    <w:p>
      <w:pPr>
        <w:spacing w:after="20"/>
      </w:pPr>
    </w:p>
    <w:p>
      <w:pPr>
        <w:pStyle w:val="Heading2"/>
        <w:keepNext/>
        <w:keepLines/>
      </w:pPr>
      <w:r>
        <w:t>9.9 Mühendislik, Fumigaz, Graceful</w:t>
      </w:r>
    </w:p>
    <w:p>
      <w:pPr/>
      <w:r>
        <w:rPr>
          <w:rFonts w:ascii="Calibri" w:hAnsi="Calibri" w:eastAsia="Calibri"/>
          <w:b/>
          <w:color w:val="1F2933"/>
          <w:sz w:val="22"/>
        </w:rPr>
        <w:t>Amaç:</w:t>
      </w:r>
      <w:r>
        <w:rPr>
          <w:rFonts w:ascii="Calibri" w:hAnsi="Calibri" w:eastAsia="Calibri"/>
          <w:i w:val="0"/>
          <w:color w:val="1F2933"/>
          <w:sz w:val="22"/>
        </w:rPr>
        <w:t xml:space="preserve"> Ölçüm, kalibrasyon, tasarım ve teknik proje</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5600"/>
        <w:gridCol w:w="3760"/>
      </w:tblGrid>
      <w:tr>
        <w:trPr>
          <w:trHeight w:hRule="auto"/>
          <w:tblHeader w:val="true"/>
          <w:cantSplit/>
        </w:trPr>
        <w:tc>
          <w:tcPr>
            <w:tcW w:type="dxa" w:w="56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Fonksiyonlar</w:t>
            </w:r>
          </w:p>
        </w:tc>
        <w:tc>
          <w:tcPr>
            <w:tcW w:type="dxa" w:w="37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Temel varlıklar</w:t>
            </w:r>
          </w:p>
        </w:tc>
      </w:tr>
      <w:tr>
        <w:trPr>
          <w:trHeight w:hRule="auto"/>
          <w:cantSplit/>
        </w:trPr>
        <w:tc>
          <w:tcPr>
            <w:tcW w:type="dxa" w:w="5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Cihaz/seri numarası • Kalibrasyon ve bakım • Saha ölçümü • Teknik çizim/dosya • Mühendislik hesapları • Devreye alma • Garanti/servis ve doğrulama</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device, calibration, engineering_project, technical_document, commissioning, service_record</w:t>
            </w:r>
          </w:p>
        </w:tc>
      </w:tr>
    </w:tbl>
    <w:p>
      <w:pPr>
        <w:spacing w:after="20"/>
      </w:pPr>
    </w:p>
    <w:p>
      <w:pPr>
        <w:pStyle w:val="Heading2"/>
        <w:keepNext/>
        <w:keepLines/>
      </w:pPr>
      <w:r>
        <w:t>9.10 KawaTech</w:t>
      </w:r>
    </w:p>
    <w:p>
      <w:pPr/>
      <w:r>
        <w:rPr>
          <w:rFonts w:ascii="Calibri" w:hAnsi="Calibri" w:eastAsia="Calibri"/>
          <w:b/>
          <w:color w:val="1F2933"/>
          <w:sz w:val="22"/>
        </w:rPr>
        <w:t>Amaç:</w:t>
      </w:r>
      <w:r>
        <w:rPr>
          <w:rFonts w:ascii="Calibri" w:hAnsi="Calibri" w:eastAsia="Calibri"/>
          <w:i w:val="0"/>
          <w:color w:val="1F2933"/>
          <w:sz w:val="22"/>
        </w:rPr>
        <w:t xml:space="preserve"> Aydınlatma ürünü ve enerji performansı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5600"/>
        <w:gridCol w:w="3760"/>
      </w:tblGrid>
      <w:tr>
        <w:trPr>
          <w:trHeight w:hRule="auto"/>
          <w:tblHeader w:val="true"/>
          <w:cantSplit/>
        </w:trPr>
        <w:tc>
          <w:tcPr>
            <w:tcW w:type="dxa" w:w="56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Fonksiyonlar</w:t>
            </w:r>
          </w:p>
        </w:tc>
        <w:tc>
          <w:tcPr>
            <w:tcW w:type="dxa" w:w="37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Temel varlıklar</w:t>
            </w:r>
          </w:p>
        </w:tc>
      </w:tr>
      <w:tr>
        <w:trPr>
          <w:trHeight w:hRule="auto"/>
          <w:cantSplit/>
        </w:trPr>
        <w:tc>
          <w:tcPr>
            <w:tcW w:type="dxa" w:w="5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Ürün ağacı ve teknik uygunluk • Tedarikçi kalite • Kurulu güç • Enerji tasarrufu ve karbon etkisi • Akıllı kontrol/telemetri • Arıza, garanti ve yenileme skoru</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lighting_product, installation, telemetry, energy_baseline, fault, warranty</w:t>
            </w:r>
          </w:p>
        </w:tc>
      </w:tr>
    </w:tbl>
    <w:p>
      <w:pPr>
        <w:spacing w:after="20"/>
      </w:pPr>
    </w:p>
    <w:p>
      <w:pPr>
        <w:pStyle w:val="Heading2"/>
        <w:keepNext/>
        <w:keepLines/>
      </w:pPr>
      <w:r>
        <w:t>9.11 we nexus ve Bilgi Ürünleri</w:t>
      </w:r>
    </w:p>
    <w:p>
      <w:pPr/>
      <w:r>
        <w:rPr>
          <w:rFonts w:ascii="Calibri" w:hAnsi="Calibri" w:eastAsia="Calibri"/>
          <w:b/>
          <w:color w:val="1F2933"/>
          <w:sz w:val="22"/>
        </w:rPr>
        <w:t>Amaç:</w:t>
      </w:r>
      <w:r>
        <w:rPr>
          <w:rFonts w:ascii="Calibri" w:hAnsi="Calibri" w:eastAsia="Calibri"/>
          <w:i w:val="0"/>
          <w:color w:val="1F2933"/>
          <w:sz w:val="22"/>
        </w:rPr>
        <w:t xml:space="preserve"> Kurumsal bilgi, içerik ve fikrî sermaye</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5600"/>
        <w:gridCol w:w="3760"/>
      </w:tblGrid>
      <w:tr>
        <w:trPr>
          <w:trHeight w:hRule="auto"/>
          <w:tblHeader w:val="true"/>
          <w:cantSplit/>
        </w:trPr>
        <w:tc>
          <w:tcPr>
            <w:tcW w:type="dxa" w:w="56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Fonksiyonlar</w:t>
            </w:r>
          </w:p>
        </w:tc>
        <w:tc>
          <w:tcPr>
            <w:tcW w:type="dxa" w:w="37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Temel varlıklar</w:t>
            </w:r>
          </w:p>
        </w:tc>
      </w:tr>
      <w:tr>
        <w:trPr>
          <w:trHeight w:hRule="auto"/>
          <w:cantSplit/>
        </w:trPr>
        <w:tc>
          <w:tcPr>
            <w:tcW w:type="dxa" w:w="5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Kaynak sicili • İçerik sürümü ve editoryal onay • Kitap/almanak • İçerikten eğitim/kontrol listesi türetme • Telif/lisans/erişim • Anonim vaka kütüphanesi</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source, knowledge_asset, content_version, publication, license, case_library</w:t>
            </w:r>
          </w:p>
        </w:tc>
      </w:tr>
    </w:tbl>
    <w:p>
      <w:pPr>
        <w:spacing w:after="20"/>
      </w:pPr>
    </w:p>
    <w:p>
      <w:pPr>
        <w:pStyle w:val="Heading2"/>
        <w:keepNext/>
        <w:keepLines/>
      </w:pPr>
      <w:r>
        <w:t>9.12 Modül Sözleşmesi Zorunlu Alanları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600"/>
        <w:gridCol w:w="6760"/>
      </w:tblGrid>
      <w:tr>
        <w:trPr>
          <w:trHeight w:hRule="auto"/>
          <w:tblHeader w:val="true"/>
          <w:cantSplit/>
        </w:trPr>
        <w:tc>
          <w:tcPr>
            <w:tcW w:type="dxa" w:w="26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Alan</w:t>
            </w:r>
          </w:p>
        </w:tc>
        <w:tc>
          <w:tcPr>
            <w:tcW w:type="dxa" w:w="676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Tanım</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module_code/version</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Benzersiz modül ve sözleşme sürümü</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capabilities</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Sunulan iş kabiliyetleri ve hizmet kodları</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required_inputs</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Alan, tip, zorunluluk, kaynak ve kalite kuralı</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outputs</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Üretilen veri, belge, karar ve olaylar</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commands/events</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Kabul edilen komutlar ve yayınlanan olaylar</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owner/data_owner</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İş sahibi, teknik sahibi ve veri sahibi</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SLA</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Başlama, tamamlama, yanıt ve hata çözme hedefleri</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approval_policy</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Hangi çıktıda hangi insan/rol onayı gerekir</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error_policy</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Retry, bekletme, telafi, manuel inceleme ve iptal davranışı</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security_class</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Veri sınıfı, tenant sınırı, maskeleme ve saklama</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pricing_basis</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Süre, kayıt, kullanıcı, tesis, işlem veya paket temeli</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health/version</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Servis sağlığı, uyumluluk ve son desteklenen sürüm</w:t>
            </w:r>
          </w:p>
        </w:tc>
      </w:tr>
    </w:tbl>
    <w:p>
      <w:pPr>
        <w:spacing w:after="20"/>
      </w:pPr>
    </w:p>
    <w:p>
      <w:pPr>
        <w:pStyle w:val="Heading1"/>
        <w:keepNext/>
        <w:keepLines/>
      </w:pPr>
      <w:r>
        <w:t>10. Ortak Veri Mimarisi</w:t>
      </w:r>
    </w:p>
    <w:p>
      <w:pPr>
        <w:pStyle w:val="Heading2"/>
        <w:keepNext/>
        <w:keepLines/>
      </w:pPr>
      <w:r>
        <w:t>10.1 Ortak Kimlikler</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600"/>
        <w:gridCol w:w="6760"/>
      </w:tblGrid>
      <w:tr>
        <w:trPr>
          <w:trHeight w:hRule="auto"/>
          <w:tblHeader w:val="true"/>
          <w:cantSplit/>
        </w:trPr>
        <w:tc>
          <w:tcPr>
            <w:tcW w:type="dxa" w:w="26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Ortak nesne</w:t>
            </w:r>
          </w:p>
        </w:tc>
        <w:tc>
          <w:tcPr>
            <w:tcW w:type="dxa" w:w="676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Anlam</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tenant</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Müşteri veri sınırı</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organization</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Müşteri/sağlayıcı/tedarikçi/hukuki kişi</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site</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Tesis, liman, depo, üretim veya saha</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person</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Çalışan, uzman, eğitmen, sürücü, müşteri ve tedarikçi kullanıcısı</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product</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Ürün/parti/parça ailesi ana kimliği</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material</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Malzeme/bileşen/ambalaj öğesi</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asset</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Araç, cihaz, ekipman, tank, aydınlatma varlığı</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supplier_facility</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Tedarikçinin üretim/işleme tesisi; şirketten ayrı kimlik</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service_request</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Müşteri talebinin ana kimliği</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project/case</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Onaylı hizmet veya dönüşüm vakası</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work_order/task</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Modül ve rol bazlı uygulama birimi</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evidence</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Kaynağı, hash’i, geçerliliği ve ilişkisi olan kanıt</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decision</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Gerekçe, yetki, kural sürümü ve onay kaydı</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event</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Modüller arasında iş anlamı taşıyan değişiklik</w:t>
            </w:r>
          </w:p>
        </w:tc>
      </w:tr>
    </w:tbl>
    <w:p>
      <w:pPr>
        <w:spacing w:after="20"/>
      </w:pPr>
    </w:p>
    <w:p>
      <w:pPr>
        <w:pStyle w:val="Heading2"/>
        <w:keepNext/>
        <w:keepLines/>
      </w:pPr>
      <w:r>
        <w:t>10.2 Temel Tablolar</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3100"/>
        <w:gridCol w:w="6260"/>
      </w:tblGrid>
      <w:tr>
        <w:trPr>
          <w:trHeight w:hRule="auto"/>
          <w:tblHeader w:val="true"/>
          <w:cantSplit/>
        </w:trPr>
        <w:tc>
          <w:tcPr>
            <w:tcW w:type="dxa" w:w="31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Tablo/Grup</w:t>
            </w:r>
          </w:p>
        </w:tc>
        <w:tc>
          <w:tcPr>
            <w:tcW w:type="dxa" w:w="62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Önemli alanlar</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tenants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id, code, name, status, data_region, settings_json</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organizations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id, tenant_id, type, parent_id, tax/country refs, status</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sites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id, tenant_id, organization_id, type, address/geospatial refs</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people</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id, tenant_id, organization_id, identity_ref, status</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roles/permissions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role, scope, action, resource, condition</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service_catalog</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service_code, version, owner, inputs, outputs, SLA, pricing</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module_registry</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module_code, version, endpoint, health, capabilities</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service_requests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id, source, requested_service, urgency, status, owner</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diagnoses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request_id, scope, problem, need, maturity, evidence_confidence</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outcomes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statement, owner, baseline, target, due_date, KPI</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service_graph_nodes/edges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case_id, service_code, relation, condition, sequence</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projects/work_orders/tasks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status, assignee, RACI, SLA, dependency, cost ref</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rules/rule_versions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jurisdiction, source, effective dates, logic, approvals</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decisions/approvals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decision_type, inputs, rule_version, actor, reason, timestamp</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evidence/evidence_links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object_ref, file/data type, source, validity, hash</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documents/document_versions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template, content, source refs, approval, release</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nonconformities/actions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finding, severity, owner, due, closure evidence</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integration_contracts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source, target, schema, frequency, SLA, security</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outbox/inbox/dead_letters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event_id, type, version, status, retry, error</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audit_log</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tenant, actor, action, object, before/after hash, time, correlation</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notifications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recipient, channel, priority, action, status, expiry</w:t>
            </w:r>
          </w:p>
        </w:tc>
      </w:tr>
      <w:tr>
        <w:trPr>
          <w:trHeight w:hRule="auto"/>
          <w:cantSplit/>
        </w:trPr>
        <w:tc>
          <w:tcPr>
            <w:tcW w:type="dxa" w:w="3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benefits/learning/cases</w:t>
            </w:r>
          </w:p>
        </w:tc>
        <w:tc>
          <w:tcPr>
            <w:tcW w:type="dxa" w:w="6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baseline, realized value, lesson, anonymity, reuse</w:t>
            </w:r>
          </w:p>
        </w:tc>
      </w:tr>
    </w:tbl>
    <w:p>
      <w:pPr>
        <w:spacing w:after="20"/>
      </w:pPr>
    </w:p>
    <w:p>
      <w:pPr>
        <w:pStyle w:val="Heading2"/>
        <w:keepNext/>
        <w:keepLines/>
      </w:pPr>
      <w:r>
        <w:t>10.3 Zaman ve Sürüm Modeli</w:t>
      </w:r>
    </w:p>
    <w:p>
      <w:pPr>
        <w:numPr>
          <w:ilvl w:val="0"/>
          <w:numId w:val="10"/>
        </w:numPr>
        <w:spacing w:before="0" w:after="80" w:line="280" w:lineRule="auto"/>
        <w:ind w:left="720" w:hanging="360"/>
      </w:pPr>
      <w:r>
        <w:rPr>
          <w:rFonts w:ascii="Calibri" w:hAnsi="Calibri" w:eastAsia="Calibri"/>
          <w:color w:val="1F2933"/>
          <w:sz w:val="22"/>
        </w:rPr>
        <w:t>Geçerlilik taşıyan kayıtlar valid_from / valid_to ile tutulur; geçmiş işlemler o tarihte geçerli bilgiyle yeniden değerlendirilebilir.</w:t>
      </w:r>
    </w:p>
    <w:p>
      <w:pPr>
        <w:numPr>
          <w:ilvl w:val="0"/>
          <w:numId w:val="10"/>
        </w:numPr>
        <w:spacing w:before="0" w:after="80" w:line="280" w:lineRule="auto"/>
        <w:ind w:left="720" w:hanging="360"/>
      </w:pPr>
      <w:r>
        <w:rPr>
          <w:rFonts w:ascii="Calibri" w:hAnsi="Calibri" w:eastAsia="Calibri"/>
          <w:color w:val="1F2933"/>
          <w:sz w:val="22"/>
        </w:rPr>
        <w:t>Ürün sınıflandırması, kural, hesaplama yöntemi, form, soru seti, rapor şablonu ve AI prompt/model sürümlenir.</w:t>
      </w:r>
    </w:p>
    <w:p>
      <w:pPr>
        <w:numPr>
          <w:ilvl w:val="0"/>
          <w:numId w:val="10"/>
        </w:numPr>
        <w:spacing w:before="0" w:after="80" w:line="280" w:lineRule="auto"/>
        <w:ind w:left="720" w:hanging="360"/>
      </w:pPr>
      <w:r>
        <w:rPr>
          <w:rFonts w:ascii="Calibri" w:hAnsi="Calibri" w:eastAsia="Calibri"/>
          <w:color w:val="1F2933"/>
          <w:sz w:val="22"/>
        </w:rPr>
        <w:t>Soft delete yalnız operasyonel kolaylıktır; audit ve hukuki saklama gerektiren kayıtlar silinmez, arşivlenir.</w:t>
      </w:r>
    </w:p>
    <w:p>
      <w:pPr>
        <w:numPr>
          <w:ilvl w:val="0"/>
          <w:numId w:val="10"/>
        </w:numPr>
        <w:spacing w:before="0" w:after="80" w:line="280" w:lineRule="auto"/>
        <w:ind w:left="720" w:hanging="360"/>
      </w:pPr>
      <w:r>
        <w:rPr>
          <w:rFonts w:ascii="Calibri" w:hAnsi="Calibri" w:eastAsia="Calibri"/>
          <w:color w:val="1F2933"/>
          <w:sz w:val="22"/>
        </w:rPr>
        <w:t>Her resmî çıktı source_data_snapshot_id ile veri anlık görüntüsüne bağlanır.</w:t>
      </w:r>
    </w:p>
    <w:p>
      <w:pPr>
        <w:numPr>
          <w:ilvl w:val="0"/>
          <w:numId w:val="10"/>
        </w:numPr>
        <w:spacing w:before="0" w:after="80" w:line="280" w:lineRule="auto"/>
        <w:ind w:left="720" w:hanging="360"/>
      </w:pPr>
      <w:r>
        <w:rPr>
          <w:rFonts w:ascii="Calibri" w:hAnsi="Calibri" w:eastAsia="Calibri"/>
          <w:color w:val="1F2933"/>
          <w:sz w:val="22"/>
        </w:rPr>
        <w:t>Kanıt dosyaları içerik hash’i ile doğrulanır; yeni dosya eski kanıtın üzerine yazılmaz.</w:t>
      </w:r>
    </w:p>
    <w:p>
      <w:pPr>
        <w:pStyle w:val="Heading2"/>
        <w:keepNext/>
        <w:keepLines/>
      </w:pPr>
      <w:r>
        <w:t>10.4 Veri Kalitesi</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200"/>
        <w:gridCol w:w="7160"/>
      </w:tblGrid>
      <w:tr>
        <w:trPr>
          <w:trHeight w:hRule="auto"/>
          <w:tblHeader w:val="true"/>
          <w:cantSplit/>
        </w:trPr>
        <w:tc>
          <w:tcPr>
            <w:tcW w:type="dxa" w:w="22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Boyut</w:t>
            </w:r>
          </w:p>
        </w:tc>
        <w:tc>
          <w:tcPr>
            <w:tcW w:type="dxa" w:w="716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Kontrol</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Completeness</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Zorunlu alan ve kanıt oranı</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Validity</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Format, aralık, kod listesi ve tarih geçerliliği</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Consistency</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Birim, menşe, ürün/tedarikçi ve ilişkili kayıt tutarlılığı</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Uniqueness</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Mükerrer kişi, tedarikçi, ürün, tesis ve belge</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Timeliness</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Karar anındaki yaş/gecikme sınırı</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Traceability</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Kaynak, değişiklik, dönüşüm ve onay zinciri</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Confidence</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Beyan, belge, sistem, ölçüm veya bağımsız doğrulama seviyesi</w:t>
            </w:r>
          </w:p>
        </w:tc>
      </w:tr>
    </w:tbl>
    <w:p>
      <w:pPr>
        <w:spacing w:after="20"/>
      </w:pPr>
    </w:p>
    <w:p>
      <w:pPr>
        <w:pStyle w:val="Heading1"/>
        <w:keepNext/>
        <w:keepLines/>
      </w:pPr>
      <w:r>
        <w:t>11. API, Olay ve Entegrasyon Tasarımı</w:t>
      </w:r>
    </w:p>
    <w:p>
      <w:pPr>
        <w:pStyle w:val="Heading2"/>
        <w:keepNext/>
        <w:keepLines/>
      </w:pPr>
      <w:r>
        <w:t>11.1 Entegrasyon Stratejisi</w:t>
      </w:r>
    </w:p>
    <w:p>
      <w:pPr/>
      <w:r>
        <w:rPr>
          <w:rFonts w:ascii="Calibri" w:hAnsi="Calibri" w:eastAsia="Calibri"/>
          <w:i w:val="0"/>
          <w:color w:val="1F2933"/>
          <w:sz w:val="22"/>
        </w:rPr>
        <w:t>Kritik uçtan uca süreçler merkezî orkestrasyonla; bağımsız yan etkiler olay koreografisiyle yürütülür. Örneğin tekliften proje/iş emri oluşturma orkestratör tarafından yönetilir; yeni uygunsuzluğun eğitim ihtiyacı üretmesi ise olaya abone olan Academy modülünce değerlendirilir.</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1800"/>
        <w:gridCol w:w="4300"/>
        <w:gridCol w:w="3260"/>
      </w:tblGrid>
      <w:tr>
        <w:trPr>
          <w:trHeight w:hRule="auto"/>
          <w:tblHeader w:val="true"/>
          <w:cantSplit/>
        </w:trPr>
        <w:tc>
          <w:tcPr>
            <w:tcW w:type="dxa" w:w="18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Yöntem</w:t>
            </w:r>
          </w:p>
        </w:tc>
        <w:tc>
          <w:tcPr>
            <w:tcW w:type="dxa" w:w="43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Kullanım</w:t>
            </w:r>
          </w:p>
        </w:tc>
        <w:tc>
          <w:tcPr>
            <w:tcW w:type="dxa" w:w="326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Örnek</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Senkron API</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Kullanıcı işlem sırasında anlık cevap gereken sorgu/komut</w:t>
            </w:r>
          </w:p>
        </w:tc>
        <w:tc>
          <w:tcPr>
            <w:tcW w:type="dxa" w:w="3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Yetkinlik kontrolü, kayıt görüntüleme</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Asenkron komut</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Uzun süren veya dayanıklılık gereken iş</w:t>
            </w:r>
          </w:p>
        </w:tc>
        <w:tc>
          <w:tcPr>
            <w:tcW w:type="dxa" w:w="3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Rapor üret, veri dosyası işle</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İş olayı</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Gerçekleşmiş ve geri alınmayan anlamlı değişiklik</w:t>
            </w:r>
          </w:p>
        </w:tc>
        <w:tc>
          <w:tcPr>
            <w:tcW w:type="dxa" w:w="3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supplier.data_rejected.v1</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Toplu dosya</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Düşük teknik kapasiteli tedarikçi veya dönemsel veri</w:t>
            </w:r>
          </w:p>
        </w:tc>
        <w:tc>
          <w:tcPr>
            <w:tcW w:type="dxa" w:w="3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Kontrollü XLSX/CSV yükleme</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Portal</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Dış tarafın kendi verisini girdiği güvenli kanal</w:t>
            </w:r>
          </w:p>
        </w:tc>
        <w:tc>
          <w:tcPr>
            <w:tcW w:type="dxa" w:w="3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Tedarikçi kanıt gönderimi</w:t>
            </w:r>
          </w:p>
        </w:tc>
      </w:tr>
      <w:tr>
        <w:trPr>
          <w:trHeight w:hRule="auto"/>
          <w:cantSplit/>
        </w:trPr>
        <w:tc>
          <w:tcPr>
            <w:tcW w:type="dxa" w:w="1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Webhook</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Dış sistemin izinli olaya abone olması</w:t>
            </w:r>
          </w:p>
        </w:tc>
        <w:tc>
          <w:tcPr>
            <w:tcW w:type="dxa" w:w="3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Proje durumu/uygunsuzluk bildirimi</w:t>
            </w:r>
          </w:p>
        </w:tc>
      </w:tr>
    </w:tbl>
    <w:p>
      <w:pPr>
        <w:spacing w:after="20"/>
      </w:pPr>
    </w:p>
    <w:p>
      <w:pPr>
        <w:pStyle w:val="Heading2"/>
        <w:keepNext/>
        <w:keepLines/>
      </w:pPr>
      <w:r>
        <w:t>11.2 Temel REST API Uçları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1100"/>
        <w:gridCol w:w="4300"/>
        <w:gridCol w:w="3960"/>
      </w:tblGrid>
      <w:tr>
        <w:trPr>
          <w:trHeight w:hRule="auto"/>
          <w:tblHeader w:val="true"/>
          <w:cantSplit/>
        </w:trPr>
        <w:tc>
          <w:tcPr>
            <w:tcW w:type="dxa" w:w="11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Yöntem</w:t>
            </w:r>
          </w:p>
        </w:tc>
        <w:tc>
          <w:tcPr>
            <w:tcW w:type="dxa" w:w="43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Uç</w:t>
            </w:r>
          </w:p>
        </w:tc>
        <w:tc>
          <w:tcPr>
            <w:tcW w:type="dxa" w:w="39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Amaç</w:t>
            </w:r>
          </w:p>
        </w:tc>
      </w:tr>
      <w:tr>
        <w:trPr>
          <w:trHeight w:hRule="auto"/>
          <w:cantSplit/>
        </w:trPr>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POST</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/v1/service-requests</w:t>
            </w:r>
          </w:p>
        </w:tc>
        <w:tc>
          <w:tcPr>
            <w:tcW w:type="dxa" w:w="3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Yeni müşteri talebi</w:t>
            </w:r>
          </w:p>
        </w:tc>
      </w:tr>
      <w:tr>
        <w:trPr>
          <w:trHeight w:hRule="auto"/>
          <w:cantSplit/>
        </w:trPr>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POST</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/v1/service-requests/{id}/triage</w:t>
            </w:r>
          </w:p>
        </w:tc>
        <w:tc>
          <w:tcPr>
            <w:tcW w:type="dxa" w:w="3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Ön sınıflama ve risk kapısı</w:t>
            </w:r>
          </w:p>
        </w:tc>
      </w:tr>
      <w:tr>
        <w:trPr>
          <w:trHeight w:hRule="auto"/>
          <w:cantSplit/>
        </w:trPr>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POST</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/v1/diagnoses</w:t>
            </w:r>
          </w:p>
        </w:tc>
        <w:tc>
          <w:tcPr>
            <w:tcW w:type="dxa" w:w="3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3E teşhis başlat</w:t>
            </w:r>
          </w:p>
        </w:tc>
      </w:tr>
      <w:tr>
        <w:trPr>
          <w:trHeight w:hRule="auto"/>
          <w:cantSplit/>
        </w:trPr>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POST</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/v1/diagnoses/{id}/evidence</w:t>
            </w:r>
          </w:p>
        </w:tc>
        <w:tc>
          <w:tcPr>
            <w:tcW w:type="dxa" w:w="3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Kanıt ilişkilendir</w:t>
            </w:r>
          </w:p>
        </w:tc>
      </w:tr>
      <w:tr>
        <w:trPr>
          <w:trHeight w:hRule="auto"/>
          <w:cantSplit/>
        </w:trPr>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POST</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/v1/diagnoses/{id}/finalize</w:t>
            </w:r>
          </w:p>
        </w:tc>
        <w:tc>
          <w:tcPr>
            <w:tcW w:type="dxa" w:w="3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İhtiyaç ve sonuç taslağını dondur</w:t>
            </w:r>
          </w:p>
        </w:tc>
      </w:tr>
      <w:tr>
        <w:trPr>
          <w:trHeight w:hRule="auto"/>
          <w:cantSplit/>
        </w:trPr>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POST</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/v1/service-compositions</w:t>
            </w:r>
          </w:p>
        </w:tc>
        <w:tc>
          <w:tcPr>
            <w:tcW w:type="dxa" w:w="3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Hizmet grafiği oluştur</w:t>
            </w:r>
          </w:p>
        </w:tc>
      </w:tr>
      <w:tr>
        <w:trPr>
          <w:trHeight w:hRule="auto"/>
          <w:cantSplit/>
        </w:trPr>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POST</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/v1/proposals</w:t>
            </w:r>
          </w:p>
        </w:tc>
        <w:tc>
          <w:tcPr>
            <w:tcW w:type="dxa" w:w="3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Kompozit teklif üret</w:t>
            </w:r>
          </w:p>
        </w:tc>
      </w:tr>
      <w:tr>
        <w:trPr>
          <w:trHeight w:hRule="auto"/>
          <w:cantSplit/>
        </w:trPr>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POST</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/v1/projects/{id}/activate</w:t>
            </w:r>
          </w:p>
        </w:tc>
        <w:tc>
          <w:tcPr>
            <w:tcW w:type="dxa" w:w="3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Modül iş emirlerini dağıt</w:t>
            </w:r>
          </w:p>
        </w:tc>
      </w:tr>
      <w:tr>
        <w:trPr>
          <w:trHeight w:hRule="auto"/>
          <w:cantSplit/>
        </w:trPr>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GET</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/v1/customers/{id}/control-tower</w:t>
            </w:r>
          </w:p>
        </w:tc>
        <w:tc>
          <w:tcPr>
            <w:tcW w:type="dxa" w:w="3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Birleşik müşteri görünümü</w:t>
            </w:r>
          </w:p>
        </w:tc>
      </w:tr>
      <w:tr>
        <w:trPr>
          <w:trHeight w:hRule="auto"/>
          <w:cantSplit/>
        </w:trPr>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POST</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/v1/work-orders/{id}/complete</w:t>
            </w:r>
          </w:p>
        </w:tc>
        <w:tc>
          <w:tcPr>
            <w:tcW w:type="dxa" w:w="3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Çıktı ve kanıtla işi tamamla</w:t>
            </w:r>
          </w:p>
        </w:tc>
      </w:tr>
      <w:tr>
        <w:trPr>
          <w:trHeight w:hRule="auto"/>
          <w:cantSplit/>
        </w:trPr>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POST</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/v1/decisions</w:t>
            </w:r>
          </w:p>
        </w:tc>
        <w:tc>
          <w:tcPr>
            <w:tcW w:type="dxa" w:w="3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Gerekçeli karar/istisna kaydı</w:t>
            </w:r>
          </w:p>
        </w:tc>
      </w:tr>
      <w:tr>
        <w:trPr>
          <w:trHeight w:hRule="auto"/>
          <w:cantSplit/>
        </w:trPr>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POST</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/v1/rules/versions</w:t>
            </w:r>
          </w:p>
        </w:tc>
        <w:tc>
          <w:tcPr>
            <w:tcW w:type="dxa" w:w="3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Onay akışına yeni kural sürümü</w:t>
            </w:r>
          </w:p>
        </w:tc>
      </w:tr>
      <w:tr>
        <w:trPr>
          <w:trHeight w:hRule="auto"/>
          <w:cantSplit/>
        </w:trPr>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POST</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/v1/supplier-data-submissions</w:t>
            </w:r>
          </w:p>
        </w:tc>
        <w:tc>
          <w:tcPr>
            <w:tcW w:type="dxa" w:w="3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Tedarikçi veri paketi</w:t>
            </w:r>
          </w:p>
        </w:tc>
      </w:tr>
      <w:tr>
        <w:trPr>
          <w:trHeight w:hRule="auto"/>
          <w:cantSplit/>
        </w:trPr>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GET</w:t>
            </w:r>
          </w:p>
        </w:tc>
        <w:tc>
          <w:tcPr>
            <w:tcW w:type="dxa" w:w="4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/v1/audit/events</w:t>
            </w:r>
          </w:p>
        </w:tc>
        <w:tc>
          <w:tcPr>
            <w:tcW w:type="dxa" w:w="3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Yetkili denetim izi sorgusu</w:t>
            </w:r>
          </w:p>
        </w:tc>
      </w:tr>
    </w:tbl>
    <w:p>
      <w:pPr>
        <w:spacing w:after="20"/>
      </w:pPr>
    </w:p>
    <w:p>
      <w:pPr>
        <w:pStyle w:val="Heading2"/>
        <w:keepNext/>
        <w:keepLines/>
      </w:pPr>
      <w:r>
        <w:t>11.3 Olay Zarfı Standardı</w:t>
      </w:r>
    </w:p>
    <w:p>
      <w:pPr>
        <w:pStyle w:val="CodeBlock"/>
      </w:pPr>
      <w:r>
        <w:t>{</w:t>
        <w:br/>
        <w:t xml:space="preserve">  "event_id": "uuid",</w:t>
        <w:br/>
        <w:t xml:space="preserve">  "event_type": "product.scope_classified",</w:t>
        <w:br/>
        <w:t xml:space="preserve">  "event_version": 1,</w:t>
        <w:br/>
        <w:t xml:space="preserve">  "occurred_at": "2026-07-24T10:15:00+03:00",</w:t>
        <w:br/>
        <w:t xml:space="preserve">  "tenant_id": "uuid",</w:t>
        <w:br/>
        <w:t xml:space="preserve">  "correlation_id": "uuid",</w:t>
        <w:br/>
        <w:t xml:space="preserve">  "causation_id": "uuid|null",</w:t>
        <w:br/>
        <w:t xml:space="preserve">  "producer": "sustainability-eudr",</w:t>
        <w:br/>
        <w:t xml:space="preserve">  "subject": {"type": "product", "id": "uuid"},</w:t>
        <w:br/>
        <w:t xml:space="preserve">  "data": {"scope": "IN_SCOPE", "rule_version_id": "uuid"},</w:t>
        <w:br/>
        <w:t xml:space="preserve">  "security": {"classification": "CONFIDENTIAL"},</w:t>
        <w:br/>
        <w:t xml:space="preserve">  "trace": {"actor_id": "uuid", "request_id": "uuid"}</w:t>
        <w:br/>
        <w:t>}</w:t>
      </w:r>
    </w:p>
    <w:p>
      <w:pPr>
        <w:pStyle w:val="Heading2"/>
        <w:keepNext/>
        <w:keepLines/>
      </w:pPr>
      <w:r>
        <w:t>11.4 Asgari Olay Kataloğu</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3500"/>
        <w:gridCol w:w="2000"/>
        <w:gridCol w:w="3860"/>
      </w:tblGrid>
      <w:tr>
        <w:trPr>
          <w:trHeight w:hRule="auto"/>
          <w:tblHeader w:val="true"/>
          <w:cantSplit/>
        </w:trPr>
        <w:tc>
          <w:tcPr>
            <w:tcW w:type="dxa" w:w="35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Olay</w:t>
            </w:r>
          </w:p>
        </w:tc>
        <w:tc>
          <w:tcPr>
            <w:tcW w:type="dxa" w:w="20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Üretici</w:t>
            </w:r>
          </w:p>
        </w:tc>
        <w:tc>
          <w:tcPr>
            <w:tcW w:type="dxa" w:w="386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Ana tüketim</w:t>
            </w:r>
          </w:p>
        </w:tc>
      </w:tr>
      <w:tr>
        <w:trPr>
          <w:trHeight w:hRule="auto"/>
          <w:cantSplit/>
        </w:trPr>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service_request.submitted.v1</w:t>
            </w:r>
          </w:p>
        </w:tc>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Talep</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Triage başlat</w:t>
            </w:r>
          </w:p>
        </w:tc>
      </w:tr>
      <w:tr>
        <w:trPr>
          <w:trHeight w:hRule="auto"/>
          <w:cantSplit/>
        </w:trPr>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diagnosis.completed.v1</w:t>
            </w:r>
          </w:p>
        </w:tc>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3E Core</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Hizmet kompozisyon adayları</w:t>
            </w:r>
          </w:p>
        </w:tc>
      </w:tr>
      <w:tr>
        <w:trPr>
          <w:trHeight w:hRule="auto"/>
          <w:cantSplit/>
        </w:trPr>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proposal.approved.v1</w:t>
            </w:r>
          </w:p>
        </w:tc>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CRM/Proposal</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Proje ve iş emirleri</w:t>
            </w:r>
          </w:p>
        </w:tc>
      </w:tr>
      <w:tr>
        <w:trPr>
          <w:trHeight w:hRule="auto"/>
          <w:cantSplit/>
        </w:trPr>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work_order.blocked.v1</w:t>
            </w:r>
          </w:p>
        </w:tc>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Her modül</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Eskalasyon ve bağımlı işleri beklet</w:t>
            </w:r>
          </w:p>
        </w:tc>
      </w:tr>
      <w:tr>
        <w:trPr>
          <w:trHeight w:hRule="auto"/>
          <w:cantSplit/>
        </w:trPr>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supplier.data_requested.v1</w:t>
            </w:r>
          </w:p>
        </w:tc>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Sürdürülebilirlik/DG</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Portal bildirimi</w:t>
            </w:r>
          </w:p>
        </w:tc>
      </w:tr>
      <w:tr>
        <w:trPr>
          <w:trHeight w:hRule="auto"/>
          <w:cantSplit/>
        </w:trPr>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supplier.data_submitted.v1</w:t>
            </w:r>
          </w:p>
        </w:tc>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Tedarikçi Portalı</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Kalite ve kural kontrolü</w:t>
            </w:r>
          </w:p>
        </w:tc>
      </w:tr>
      <w:tr>
        <w:trPr>
          <w:trHeight w:hRule="auto"/>
          <w:cantSplit/>
        </w:trPr>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product.scope_classified.v1</w:t>
            </w:r>
          </w:p>
        </w:tc>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EUDR/CBAM/PPWR</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İlgili due diligence/hesap süreci</w:t>
            </w:r>
          </w:p>
        </w:tc>
      </w:tr>
      <w:tr>
        <w:trPr>
          <w:trHeight w:hRule="auto"/>
          <w:cantSplit/>
        </w:trPr>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competency.changed.v1</w:t>
            </w:r>
          </w:p>
        </w:tc>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Academy</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Logfiks/görevlendirme yeniden kontrol</w:t>
            </w:r>
          </w:p>
        </w:tc>
      </w:tr>
      <w:tr>
        <w:trPr>
          <w:trHeight w:hRule="auto"/>
          <w:cantSplit/>
        </w:trPr>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credential.expiring.v1</w:t>
            </w:r>
          </w:p>
        </w:tc>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Academy/Logfiks</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Görev, eğitim ve bildirim</w:t>
            </w:r>
          </w:p>
        </w:tc>
      </w:tr>
      <w:tr>
        <w:trPr>
          <w:trHeight w:hRule="auto"/>
          <w:cantSplit/>
        </w:trPr>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nonconformity.raised.v1</w:t>
            </w:r>
          </w:p>
        </w:tc>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Survey/TMGD</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Düzeltici faaliyet ve eğitim adayı</w:t>
            </w:r>
          </w:p>
        </w:tc>
      </w:tr>
      <w:tr>
        <w:trPr>
          <w:trHeight w:hRule="auto"/>
          <w:cantSplit/>
        </w:trPr>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measurement.recorded.v1</w:t>
            </w:r>
          </w:p>
        </w:tc>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Fumigaz/KawaTech</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Teknik karar ve raporlama</w:t>
            </w:r>
          </w:p>
        </w:tc>
      </w:tr>
      <w:tr>
        <w:trPr>
          <w:trHeight w:hRule="auto"/>
          <w:cantSplit/>
        </w:trPr>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rule.version_published.v1</w:t>
            </w:r>
          </w:p>
        </w:tc>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Rule Catalog</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Etki analizi ve yeniden değerlendirme</w:t>
            </w:r>
          </w:p>
        </w:tc>
      </w:tr>
      <w:tr>
        <w:trPr>
          <w:trHeight w:hRule="auto"/>
          <w:cantSplit/>
        </w:trPr>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evidence.expired.v1</w:t>
            </w:r>
          </w:p>
        </w:tc>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Evidence Service</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Bağlı kararları riskli duruma al</w:t>
            </w:r>
          </w:p>
        </w:tc>
      </w:tr>
      <w:tr>
        <w:trPr>
          <w:trHeight w:hRule="auto"/>
          <w:cantSplit/>
        </w:trPr>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benefit.review_due.v1</w:t>
            </w:r>
          </w:p>
        </w:tc>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3E Core</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Sonuç/fayda doğrulaması</w:t>
            </w:r>
          </w:p>
        </w:tc>
      </w:tr>
    </w:tbl>
    <w:p>
      <w:pPr>
        <w:spacing w:after="20"/>
      </w:pPr>
    </w:p>
    <w:p>
      <w:pPr>
        <w:pStyle w:val="Heading2"/>
        <w:keepNext/>
        <w:keepLines/>
      </w:pPr>
      <w:r>
        <w:t>11.5 Güvenilir Mesajlaşma</w:t>
      </w:r>
    </w:p>
    <w:p>
      <w:pPr>
        <w:numPr>
          <w:ilvl w:val="0"/>
          <w:numId w:val="10"/>
        </w:numPr>
        <w:spacing w:before="0" w:after="80" w:line="280" w:lineRule="auto"/>
        <w:ind w:left="720" w:hanging="360"/>
      </w:pPr>
      <w:r>
        <w:rPr>
          <w:rFonts w:ascii="Calibri" w:hAnsi="Calibri" w:eastAsia="Calibri"/>
          <w:color w:val="1F2933"/>
          <w:sz w:val="22"/>
        </w:rPr>
        <w:t>Veritabanı işlemi ve olay yayını outbox deseniyle atomik bağlanır.</w:t>
      </w:r>
    </w:p>
    <w:p>
      <w:pPr>
        <w:numPr>
          <w:ilvl w:val="0"/>
          <w:numId w:val="10"/>
        </w:numPr>
        <w:spacing w:before="0" w:after="80" w:line="280" w:lineRule="auto"/>
        <w:ind w:left="720" w:hanging="360"/>
      </w:pPr>
      <w:r>
        <w:rPr>
          <w:rFonts w:ascii="Calibri" w:hAnsi="Calibri" w:eastAsia="Calibri"/>
          <w:color w:val="1F2933"/>
          <w:sz w:val="22"/>
        </w:rPr>
        <w:t>Tüketiciler inbox/event_id ile tekrara dayanıklı çalışır; aynı olay iki kez gelse tek iş sonucu üretir.</w:t>
      </w:r>
    </w:p>
    <w:p>
      <w:pPr>
        <w:numPr>
          <w:ilvl w:val="0"/>
          <w:numId w:val="10"/>
        </w:numPr>
        <w:spacing w:before="0" w:after="80" w:line="280" w:lineRule="auto"/>
        <w:ind w:left="720" w:hanging="360"/>
      </w:pPr>
      <w:r>
        <w:rPr>
          <w:rFonts w:ascii="Calibri" w:hAnsi="Calibri" w:eastAsia="Calibri"/>
          <w:color w:val="1F2933"/>
          <w:sz w:val="22"/>
        </w:rPr>
        <w:t>Başarısız mesajlar kontrollü yeniden deneme sonrası dead-letter kuyruğuna alınır.</w:t>
      </w:r>
    </w:p>
    <w:p>
      <w:pPr>
        <w:numPr>
          <w:ilvl w:val="0"/>
          <w:numId w:val="10"/>
        </w:numPr>
        <w:spacing w:before="0" w:after="80" w:line="280" w:lineRule="auto"/>
        <w:ind w:left="720" w:hanging="360"/>
      </w:pPr>
      <w:r>
        <w:rPr>
          <w:rFonts w:ascii="Calibri" w:hAnsi="Calibri" w:eastAsia="Calibri"/>
          <w:color w:val="1F2933"/>
          <w:sz w:val="22"/>
        </w:rPr>
        <w:t>Her zincirde correlation_id; alt olaylarda causation_id taşınır.</w:t>
      </w:r>
    </w:p>
    <w:p>
      <w:pPr>
        <w:numPr>
          <w:ilvl w:val="0"/>
          <w:numId w:val="10"/>
        </w:numPr>
        <w:spacing w:before="0" w:after="80" w:line="280" w:lineRule="auto"/>
        <w:ind w:left="720" w:hanging="360"/>
      </w:pPr>
      <w:r>
        <w:rPr>
          <w:rFonts w:ascii="Calibri" w:hAnsi="Calibri" w:eastAsia="Calibri"/>
          <w:color w:val="1F2933"/>
          <w:sz w:val="22"/>
        </w:rPr>
        <w:t>İş etkisi olmayan teknik log yeterli değildir; başarısız mesajın hangi müşteri kararı veya işi geciktirdiği görünür olmalıdır.</w:t>
      </w:r>
    </w:p>
    <w:p>
      <w:pPr>
        <w:numPr>
          <w:ilvl w:val="0"/>
          <w:numId w:val="10"/>
        </w:numPr>
        <w:spacing w:before="0" w:after="80" w:line="280" w:lineRule="auto"/>
        <w:ind w:left="720" w:hanging="360"/>
      </w:pPr>
      <w:r>
        <w:rPr>
          <w:rFonts w:ascii="Calibri" w:hAnsi="Calibri" w:eastAsia="Calibri"/>
          <w:color w:val="1F2933"/>
          <w:sz w:val="22"/>
        </w:rPr>
        <w:t>Günlük uzlaştırma, kaynak ve hedef kayıt sayısı/hash/tarihsel farklarını kontrol eder.</w:t>
      </w:r>
    </w:p>
    <w:p>
      <w:pPr>
        <w:pStyle w:val="Heading1"/>
        <w:keepNext/>
        <w:keepLines/>
      </w:pPr>
      <w:r>
        <w:t>12. Kural Kataloğu, Karar Motoru ve Algoritmalar</w:t>
      </w:r>
    </w:p>
    <w:p>
      <w:pPr>
        <w:pStyle w:val="Heading2"/>
        <w:keepNext/>
        <w:keepLines/>
      </w:pPr>
      <w:r>
        <w:t>12.1 Kural Varlığı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500"/>
        <w:gridCol w:w="6860"/>
      </w:tblGrid>
      <w:tr>
        <w:trPr>
          <w:trHeight w:hRule="auto"/>
          <w:tblHeader w:val="true"/>
          <w:cantSplit/>
        </w:trPr>
        <w:tc>
          <w:tcPr>
            <w:tcW w:type="dxa" w:w="25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Alan</w:t>
            </w:r>
          </w:p>
        </w:tc>
        <w:tc>
          <w:tcPr>
            <w:tcW w:type="dxa" w:w="686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Tanım</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rule_code</w:t>
            </w:r>
          </w:p>
        </w:tc>
        <w:tc>
          <w:tcPr>
            <w:tcW w:type="dxa" w:w="6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Sabit benzersiz kod</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domain/jurisdiction</w:t>
            </w:r>
          </w:p>
        </w:tc>
        <w:tc>
          <w:tcPr>
            <w:tcW w:type="dxa" w:w="6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CBAM, EUDR, ADR vb.; ülke/bölge</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source_reference</w:t>
            </w:r>
          </w:p>
        </w:tc>
        <w:tc>
          <w:tcPr>
            <w:tcW w:type="dxa" w:w="6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Onaylı kaynak ve madde/ek referansı</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effective_from/to</w:t>
            </w:r>
          </w:p>
        </w:tc>
        <w:tc>
          <w:tcPr>
            <w:tcW w:type="dxa" w:w="6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Yürürlük aralığı</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applicability</w:t>
            </w:r>
          </w:p>
        </w:tc>
        <w:tc>
          <w:tcPr>
            <w:tcW w:type="dxa" w:w="6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Ürün, işlem, rol, eşik ve istisna koşulları</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inputs/outputs</w:t>
            </w:r>
          </w:p>
        </w:tc>
        <w:tc>
          <w:tcPr>
            <w:tcW w:type="dxa" w:w="6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Tipli veri sözleşmesi</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logic</w:t>
            </w:r>
          </w:p>
        </w:tc>
        <w:tc>
          <w:tcPr>
            <w:tcW w:type="dxa" w:w="6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Karar tablosu, ifade veya algoritma referansı</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severity</w:t>
            </w:r>
          </w:p>
        </w:tc>
        <w:tc>
          <w:tcPr>
            <w:tcW w:type="dxa" w:w="6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Bilgi, uyarı, engel, zorunlu insan kararı</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owner/approver</w:t>
            </w:r>
          </w:p>
        </w:tc>
        <w:tc>
          <w:tcPr>
            <w:tcW w:type="dxa" w:w="6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İş sahibi ve yayınlayan uzman</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test_cases</w:t>
            </w:r>
          </w:p>
        </w:tc>
        <w:tc>
          <w:tcPr>
            <w:tcW w:type="dxa" w:w="6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Pozitif, negatif, sınır ve istisna örnekleri</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version/status</w:t>
            </w:r>
          </w:p>
        </w:tc>
        <w:tc>
          <w:tcPr>
            <w:tcW w:type="dxa" w:w="6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Taslak, incelemede, onaylı, yayımlı, emekli</w:t>
            </w:r>
          </w:p>
        </w:tc>
      </w:tr>
    </w:tbl>
    <w:p>
      <w:pPr>
        <w:spacing w:after="20"/>
      </w:pPr>
    </w:p>
    <w:p>
      <w:pPr>
        <w:pStyle w:val="Heading2"/>
        <w:keepNext/>
        <w:keepLines/>
      </w:pPr>
      <w:r>
        <w:t>12.2 Talep Sınıflama Algoritması</w:t>
      </w:r>
    </w:p>
    <w:p>
      <w:pPr>
        <w:pStyle w:val="CodeBlock"/>
      </w:pPr>
      <w:r>
        <w:t>function classify_request(request):</w:t>
        <w:br/>
        <w:t xml:space="preserve">    normalize_language_and_entities(request)</w:t>
        <w:br/>
        <w:t xml:space="preserve">    tenant = resolve_tenant(request)</w:t>
        <w:br/>
        <w:t xml:space="preserve">    urgency = evaluate_deadline_safety_and_legal_risk(request)</w:t>
        <w:br/>
        <w:t xml:space="preserve">    requested_services = rule_catalog.match_service_intent(request)</w:t>
        <w:br/>
        <w:t xml:space="preserve">    if urgency.red_flag:</w:t>
        <w:br/>
        <w:t xml:space="preserve">        create_immediate_human_review()</w:t>
        <w:br/>
        <w:t xml:space="preserve">    missing = minimum_intake_schema.missing_fields(requested_services)</w:t>
        <w:br/>
        <w:t xml:space="preserve">    if missing:</w:t>
        <w:br/>
        <w:t xml:space="preserve">        return status("NEEDS_INFORMATION", missing)</w:t>
        <w:br/>
        <w:t xml:space="preserve">    return status("TRIAGE", requested_services, urgency, tenant)</w:t>
      </w:r>
    </w:p>
    <w:p>
      <w:pPr>
        <w:pStyle w:val="Heading2"/>
        <w:keepNext/>
        <w:keepLines/>
      </w:pPr>
      <w:r>
        <w:t>12.3 Hizmet Kompozisyon Algoritması</w:t>
      </w:r>
    </w:p>
    <w:p>
      <w:pPr>
        <w:pStyle w:val="CodeBlock"/>
      </w:pPr>
      <w:r>
        <w:t>function compose_services(diagnosis):</w:t>
        <w:br/>
        <w:t xml:space="preserve">    candidates = service_catalog.by_need_dimensions(diagnosis.needs)</w:t>
        <w:br/>
        <w:t xml:space="preserve">    candidates += rule_catalog.mandatory_services(diagnosis.context)</w:t>
        <w:br/>
        <w:t xml:space="preserve">    candidates = remove_ineligible(candidates, diagnosis.scope, tenant_policy)</w:t>
        <w:br/>
        <w:t xml:space="preserve">    graph = new ServiceGraph()</w:t>
        <w:br/>
        <w:t xml:space="preserve">    for service in candidates:</w:t>
        <w:br/>
        <w:t xml:space="preserve">        graph.add(service)</w:t>
        <w:br/>
        <w:t xml:space="preserve">        graph.add_dependencies(service.dependencies)</w:t>
        <w:br/>
        <w:t xml:space="preserve">        graph.add_validators(service.independent_validation)</w:t>
        <w:br/>
        <w:t xml:space="preserve">    graph.merge_duplicate_input_requests()</w:t>
        <w:br/>
        <w:t xml:space="preserve">    graph.score(explainable_fit_weights)</w:t>
        <w:br/>
        <w:t xml:space="preserve">    graph.mark_human_decision_gates()</w:t>
        <w:br/>
        <w:t xml:space="preserve">    graph.detect_cycles_and_conflicts()</w:t>
        <w:br/>
        <w:t xml:space="preserve">    return solution_architect_review(graph)</w:t>
      </w:r>
    </w:p>
    <w:p>
      <w:pPr>
        <w:pStyle w:val="Heading2"/>
        <w:keepNext/>
        <w:keepLines/>
      </w:pPr>
      <w:r>
        <w:t>12.4 Kanıt Güven Skoru</w:t>
      </w:r>
    </w:p>
    <w:p>
      <w:pPr/>
      <w:r>
        <w:rPr>
          <w:rFonts w:ascii="Calibri" w:hAnsi="Calibri" w:eastAsia="Calibri"/>
          <w:i w:val="0"/>
          <w:color w:val="1F2933"/>
          <w:sz w:val="22"/>
        </w:rPr>
        <w:t>Önerilen yaklaşım: evidence_confidence = source_weight × freshness × completeness × integrity × scope_match. Bağımsız doğrulama veya ölçüm gibi güçlü kaynaklar yüksek ağırlık alır; ancak kural/alan bazında uzman tarafından yapılandırılır. Skor kararın tek başına sahibi değildir.</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3300"/>
        <w:gridCol w:w="1700"/>
        <w:gridCol w:w="4360"/>
      </w:tblGrid>
      <w:tr>
        <w:trPr>
          <w:trHeight w:hRule="auto"/>
          <w:tblHeader w:val="true"/>
          <w:cantSplit/>
        </w:trPr>
        <w:tc>
          <w:tcPr>
            <w:tcW w:type="dxa" w:w="33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Kanıt türü</w:t>
            </w:r>
          </w:p>
        </w:tc>
        <w:tc>
          <w:tcPr>
            <w:tcW w:type="dxa" w:w="17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Başlangıç ağırlığı</w:t>
            </w:r>
          </w:p>
        </w:tc>
        <w:tc>
          <w:tcPr>
            <w:tcW w:type="dxa" w:w="43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Örnek kontrol</w:t>
            </w:r>
          </w:p>
        </w:tc>
      </w:tr>
      <w:tr>
        <w:trPr>
          <w:trHeight w:hRule="auto"/>
          <w:cantSplit/>
        </w:trPr>
        <w:tc>
          <w:tcPr>
            <w:tcW w:type="dxa" w:w="3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Sözlü beyan</w:t>
            </w:r>
          </w:p>
        </w:tc>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0,25</w:t>
            </w:r>
          </w:p>
        </w:tc>
        <w:tc>
          <w:tcPr>
            <w:tcW w:type="dxa" w:w="4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Kişi, tarih, rol ve kapsam</w:t>
            </w:r>
          </w:p>
        </w:tc>
      </w:tr>
      <w:tr>
        <w:trPr>
          <w:trHeight w:hRule="auto"/>
          <w:cantSplit/>
        </w:trPr>
        <w:tc>
          <w:tcPr>
            <w:tcW w:type="dxa" w:w="3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Tedarikçi beyanı</w:t>
            </w:r>
          </w:p>
        </w:tc>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0,50</w:t>
            </w:r>
          </w:p>
        </w:tc>
        <w:tc>
          <w:tcPr>
            <w:tcW w:type="dxa" w:w="4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Yetkili kişi, ürün/dönem eşleşmesi</w:t>
            </w:r>
          </w:p>
        </w:tc>
      </w:tr>
      <w:tr>
        <w:trPr>
          <w:trHeight w:hRule="auto"/>
          <w:cantSplit/>
        </w:trPr>
        <w:tc>
          <w:tcPr>
            <w:tcW w:type="dxa" w:w="3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Belge/sistem kaydı</w:t>
            </w:r>
          </w:p>
        </w:tc>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0,75</w:t>
            </w:r>
          </w:p>
        </w:tc>
        <w:tc>
          <w:tcPr>
            <w:tcW w:type="dxa" w:w="4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Kaynak, sürüm, geçerlilik, hash</w:t>
            </w:r>
          </w:p>
        </w:tc>
      </w:tr>
      <w:tr>
        <w:trPr>
          <w:trHeight w:hRule="auto"/>
          <w:cantSplit/>
        </w:trPr>
        <w:tc>
          <w:tcPr>
            <w:tcW w:type="dxa" w:w="3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Ölçüm/bağımsız doğrulama</w:t>
            </w:r>
          </w:p>
        </w:tc>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1,00</w:t>
            </w:r>
          </w:p>
        </w:tc>
        <w:tc>
          <w:tcPr>
            <w:tcW w:type="dxa" w:w="4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Cihaz/kalibrasyon/metot veya doğrulayıcı</w:t>
            </w:r>
          </w:p>
        </w:tc>
      </w:tr>
    </w:tbl>
    <w:p>
      <w:pPr>
        <w:spacing w:after="20"/>
      </w:pPr>
    </w:p>
    <w:p>
      <w:pPr>
        <w:pStyle w:val="Heading2"/>
        <w:keepNext/>
        <w:keepLines/>
      </w:pPr>
      <w:r>
        <w:t>12.5 İstisna Algoritması</w:t>
      </w:r>
    </w:p>
    <w:p>
      <w:pPr>
        <w:numPr>
          <w:ilvl w:val="0"/>
          <w:numId w:val="12"/>
        </w:numPr>
        <w:spacing w:after="80" w:line="280" w:lineRule="auto"/>
        <w:ind w:left="720" w:hanging="360"/>
      </w:pPr>
      <w:r>
        <w:rPr>
          <w:rFonts w:ascii="Calibri" w:hAnsi="Calibri" w:eastAsia="Calibri"/>
          <w:color w:val="1F2933"/>
          <w:sz w:val="22"/>
        </w:rPr>
        <w:t>Kuralın esnetilebilir olup olmadığını kontrol et; hard_block ise istisna açılamaz.</w:t>
      </w:r>
    </w:p>
    <w:p>
      <w:pPr>
        <w:numPr>
          <w:ilvl w:val="0"/>
          <w:numId w:val="12"/>
        </w:numPr>
        <w:spacing w:after="80" w:line="280" w:lineRule="auto"/>
        <w:ind w:left="720" w:hanging="360"/>
      </w:pPr>
      <w:r>
        <w:rPr>
          <w:rFonts w:ascii="Calibri" w:hAnsi="Calibri" w:eastAsia="Calibri"/>
          <w:color w:val="1F2933"/>
          <w:sz w:val="22"/>
        </w:rPr>
        <w:t>İstisna sahibi, gerekçe, risk, etkilenen kayıtlar, başlangıç/bitiş ve telafi kontrolü zorunlu olsun.</w:t>
      </w:r>
    </w:p>
    <w:p>
      <w:pPr>
        <w:numPr>
          <w:ilvl w:val="0"/>
          <w:numId w:val="12"/>
        </w:numPr>
        <w:spacing w:after="80" w:line="280" w:lineRule="auto"/>
        <w:ind w:left="720" w:hanging="360"/>
      </w:pPr>
      <w:r>
        <w:rPr>
          <w:rFonts w:ascii="Calibri" w:hAnsi="Calibri" w:eastAsia="Calibri"/>
          <w:color w:val="1F2933"/>
          <w:sz w:val="22"/>
        </w:rPr>
        <w:t>Yetki limiti ve görev ayrılığına göre onay zinciri üret.</w:t>
      </w:r>
    </w:p>
    <w:p>
      <w:pPr>
        <w:numPr>
          <w:ilvl w:val="0"/>
          <w:numId w:val="12"/>
        </w:numPr>
        <w:spacing w:after="80" w:line="280" w:lineRule="auto"/>
        <w:ind w:left="720" w:hanging="360"/>
      </w:pPr>
      <w:r>
        <w:rPr>
          <w:rFonts w:ascii="Calibri" w:hAnsi="Calibri" w:eastAsia="Calibri"/>
          <w:color w:val="1F2933"/>
          <w:sz w:val="22"/>
        </w:rPr>
        <w:t>Bitiş tarihinde otomatik kapatma değil, yeniden değerlendirme oluştur.</w:t>
      </w:r>
    </w:p>
    <w:p>
      <w:pPr>
        <w:numPr>
          <w:ilvl w:val="0"/>
          <w:numId w:val="12"/>
        </w:numPr>
        <w:spacing w:after="80" w:line="280" w:lineRule="auto"/>
        <w:ind w:left="720" w:hanging="360"/>
      </w:pPr>
      <w:r>
        <w:rPr>
          <w:rFonts w:ascii="Calibri" w:hAnsi="Calibri" w:eastAsia="Calibri"/>
          <w:color w:val="1F2933"/>
          <w:sz w:val="22"/>
        </w:rPr>
        <w:t>Aynı kurala ilişkin istisna sıklığı eşik aşarsa rule_review_needed olayı yayınla.</w:t>
      </w:r>
    </w:p>
    <w:p>
      <w:pPr>
        <w:pStyle w:val="Heading1"/>
        <w:keepNext/>
        <w:keepLines/>
      </w:pPr>
      <w:r>
        <w:t>13. Yetki, Görev Ayrılığı, Güvenlik ve KVKK</w:t>
      </w:r>
    </w:p>
    <w:p>
      <w:pPr>
        <w:pStyle w:val="Heading2"/>
        <w:keepNext/>
        <w:keepLines/>
      </w:pPr>
      <w:r>
        <w:t>13.1 Yetkilendirme Modeli</w:t>
      </w:r>
    </w:p>
    <w:p>
      <w:pPr/>
      <w:r>
        <w:rPr>
          <w:rFonts w:ascii="Calibri" w:hAnsi="Calibri" w:eastAsia="Calibri"/>
          <w:i w:val="0"/>
          <w:color w:val="1F2933"/>
          <w:sz w:val="22"/>
        </w:rPr>
        <w:t>RBAC temel modeldir; tenant, organizasyon, proje, hizmet alanı, veri sınıfı ve karar tutarı/riski için ABAC koşulları eklenir. Kullanıcı adı üzerinden doğrudan yetki verilmez.</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500"/>
        <w:gridCol w:w="2800"/>
        <w:gridCol w:w="4060"/>
      </w:tblGrid>
      <w:tr>
        <w:trPr>
          <w:trHeight w:hRule="auto"/>
          <w:tblHeader w:val="true"/>
          <w:cantSplit/>
        </w:trPr>
        <w:tc>
          <w:tcPr>
            <w:tcW w:type="dxa" w:w="25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İşlem</w:t>
            </w:r>
          </w:p>
        </w:tc>
        <w:tc>
          <w:tcPr>
            <w:tcW w:type="dxa" w:w="28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Rol</w:t>
            </w:r>
          </w:p>
        </w:tc>
        <w:tc>
          <w:tcPr>
            <w:tcW w:type="dxa" w:w="406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Kapsam/koşul</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Talep açma</w:t>
            </w:r>
          </w:p>
        </w:tc>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 kullanıcı / satış</w:t>
            </w:r>
          </w:p>
        </w:tc>
        <w:tc>
          <w:tcPr>
            <w:tcW w:type="dxa" w:w="4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Kendi tenant ve hesabı</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Teşhis düzenleme</w:t>
            </w:r>
          </w:p>
        </w:tc>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3E çözüm mimarı</w:t>
            </w:r>
          </w:p>
        </w:tc>
        <w:tc>
          <w:tcPr>
            <w:tcW w:type="dxa" w:w="4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Atandığı vaka</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Kural taslağı</w:t>
            </w:r>
          </w:p>
        </w:tc>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Alan uzmanı</w:t>
            </w:r>
          </w:p>
        </w:tc>
        <w:tc>
          <w:tcPr>
            <w:tcW w:type="dxa" w:w="4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Kendi alanı</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Kural yayımlama</w:t>
            </w:r>
          </w:p>
        </w:tc>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Metodoloji/uyum onayı</w:t>
            </w:r>
          </w:p>
        </w:tc>
        <w:tc>
          <w:tcPr>
            <w:tcW w:type="dxa" w:w="4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Görev ayrılığı</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Resmî rapor onayı</w:t>
            </w:r>
          </w:p>
        </w:tc>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Yetkili uzman</w:t>
            </w:r>
          </w:p>
        </w:tc>
        <w:tc>
          <w:tcPr>
            <w:tcW w:type="dxa" w:w="4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Yetkilendirme kapsamı/geçerliliği</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Bağımsız doğrulama</w:t>
            </w:r>
          </w:p>
        </w:tc>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Güvence/gözetim</w:t>
            </w:r>
          </w:p>
        </w:tc>
        <w:tc>
          <w:tcPr>
            <w:tcW w:type="dxa" w:w="4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Danışmanlık rolüyle çakışamaz</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Fiyat/indirim</w:t>
            </w:r>
          </w:p>
        </w:tc>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Marka/finans yöneticisi</w:t>
            </w:r>
          </w:p>
        </w:tc>
        <w:tc>
          <w:tcPr>
            <w:tcW w:type="dxa" w:w="4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Yetki limiti</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Tenant yönetimi</w:t>
            </w:r>
          </w:p>
        </w:tc>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Tenant admin</w:t>
            </w:r>
          </w:p>
        </w:tc>
        <w:tc>
          <w:tcPr>
            <w:tcW w:type="dxa" w:w="4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Kendi tenant</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Platform konfigürasyonu</w:t>
            </w:r>
          </w:p>
        </w:tc>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Platform admin</w:t>
            </w:r>
          </w:p>
        </w:tc>
        <w:tc>
          <w:tcPr>
            <w:tcW w:type="dxa" w:w="4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İç onay ve audit</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Audit görüntüleme</w:t>
            </w:r>
          </w:p>
        </w:tc>
        <w:tc>
          <w:tcPr>
            <w:tcW w:type="dxa" w:w="2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Yetkili güvence</w:t>
            </w:r>
          </w:p>
        </w:tc>
        <w:tc>
          <w:tcPr>
            <w:tcW w:type="dxa" w:w="4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Maskelenmiş ve amaç sınırlı</w:t>
            </w:r>
          </w:p>
        </w:tc>
      </w:tr>
    </w:tbl>
    <w:p>
      <w:pPr>
        <w:spacing w:after="20"/>
      </w:pPr>
    </w:p>
    <w:p>
      <w:pPr>
        <w:pStyle w:val="Heading2"/>
        <w:keepNext/>
        <w:keepLines/>
      </w:pPr>
      <w:r>
        <w:t>13.2 Görev Ayrılığı Kontrolleri</w:t>
      </w:r>
    </w:p>
    <w:p>
      <w:pPr>
        <w:numPr>
          <w:ilvl w:val="0"/>
          <w:numId w:val="10"/>
        </w:numPr>
        <w:spacing w:before="0" w:after="80" w:line="280" w:lineRule="auto"/>
        <w:ind w:left="720" w:hanging="360"/>
      </w:pPr>
      <w:r>
        <w:rPr>
          <w:rFonts w:ascii="Calibri" w:hAnsi="Calibri" w:eastAsia="Calibri"/>
          <w:color w:val="1F2933"/>
          <w:sz w:val="22"/>
        </w:rPr>
        <w:t>Veriyi oluşturan kişi yüksek riskli kaydı tek başına onaylayamaz.</w:t>
      </w:r>
    </w:p>
    <w:p>
      <w:pPr>
        <w:numPr>
          <w:ilvl w:val="0"/>
          <w:numId w:val="10"/>
        </w:numPr>
        <w:spacing w:before="0" w:after="80" w:line="280" w:lineRule="auto"/>
        <w:ind w:left="720" w:hanging="360"/>
      </w:pPr>
      <w:r>
        <w:rPr>
          <w:rFonts w:ascii="Calibri" w:hAnsi="Calibri" w:eastAsia="Calibri"/>
          <w:color w:val="1F2933"/>
          <w:sz w:val="22"/>
        </w:rPr>
        <w:t>Kuralı geliştiren kişi tek başına yayımlayamaz; test sonucu ve ikinci onay gerekir.</w:t>
      </w:r>
    </w:p>
    <w:p>
      <w:pPr>
        <w:numPr>
          <w:ilvl w:val="0"/>
          <w:numId w:val="10"/>
        </w:numPr>
        <w:spacing w:before="0" w:after="80" w:line="280" w:lineRule="auto"/>
        <w:ind w:left="720" w:hanging="360"/>
      </w:pPr>
      <w:r>
        <w:rPr>
          <w:rFonts w:ascii="Calibri" w:hAnsi="Calibri" w:eastAsia="Calibri"/>
          <w:color w:val="1F2933"/>
          <w:sz w:val="22"/>
        </w:rPr>
        <w:t>Danışmanlık çıktısını bağımsız doğrulayan rol aynı iş paketinde Responsible olamaz.</w:t>
      </w:r>
    </w:p>
    <w:p>
      <w:pPr>
        <w:numPr>
          <w:ilvl w:val="0"/>
          <w:numId w:val="10"/>
        </w:numPr>
        <w:spacing w:before="0" w:after="80" w:line="280" w:lineRule="auto"/>
        <w:ind w:left="720" w:hanging="360"/>
      </w:pPr>
      <w:r>
        <w:rPr>
          <w:rFonts w:ascii="Calibri" w:hAnsi="Calibri" w:eastAsia="Calibri"/>
          <w:color w:val="1F2933"/>
          <w:sz w:val="22"/>
        </w:rPr>
        <w:t>Fiyatı hazırlayan kişi yetki sınırını aşan indirimi onaylayamaz.</w:t>
      </w:r>
    </w:p>
    <w:p>
      <w:pPr>
        <w:numPr>
          <w:ilvl w:val="0"/>
          <w:numId w:val="10"/>
        </w:numPr>
        <w:spacing w:before="0" w:after="80" w:line="280" w:lineRule="auto"/>
        <w:ind w:left="720" w:hanging="360"/>
      </w:pPr>
      <w:r>
        <w:rPr>
          <w:rFonts w:ascii="Calibri" w:hAnsi="Calibri" w:eastAsia="Calibri"/>
          <w:color w:val="1F2933"/>
          <w:sz w:val="22"/>
        </w:rPr>
        <w:t>Sistem yöneticisi iş içeriğini sebepsiz okuyamaz; destek erişimi süreli, gerekçeli ve kayıtlıdır.</w:t>
      </w:r>
    </w:p>
    <w:p>
      <w:pPr>
        <w:numPr>
          <w:ilvl w:val="0"/>
          <w:numId w:val="10"/>
        </w:numPr>
        <w:spacing w:before="0" w:after="80" w:line="280" w:lineRule="auto"/>
        <w:ind w:left="720" w:hanging="360"/>
      </w:pPr>
      <w:r>
        <w:rPr>
          <w:rFonts w:ascii="Calibri" w:hAnsi="Calibri" w:eastAsia="Calibri"/>
          <w:color w:val="1F2933"/>
          <w:sz w:val="22"/>
        </w:rPr>
        <w:t>Manuel veri düzeltmesi doğrudan DB üzerinden yapılmaz; düzeltme iş akışı ve ikinci kontrol kullanılır.</w:t>
      </w:r>
    </w:p>
    <w:p>
      <w:pPr>
        <w:pStyle w:val="Heading2"/>
        <w:keepNext/>
        <w:keepLines/>
      </w:pPr>
      <w:r>
        <w:t>13.3 Veri Sınıfları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1500"/>
        <w:gridCol w:w="3600"/>
        <w:gridCol w:w="4260"/>
      </w:tblGrid>
      <w:tr>
        <w:trPr>
          <w:trHeight w:hRule="auto"/>
          <w:tblHeader w:val="true"/>
          <w:cantSplit/>
        </w:trPr>
        <w:tc>
          <w:tcPr>
            <w:tcW w:type="dxa" w:w="15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Sınıf</w:t>
            </w:r>
          </w:p>
        </w:tc>
        <w:tc>
          <w:tcPr>
            <w:tcW w:type="dxa" w:w="36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Örnek</w:t>
            </w:r>
          </w:p>
        </w:tc>
        <w:tc>
          <w:tcPr>
            <w:tcW w:type="dxa" w:w="426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Kontrol</w:t>
            </w:r>
          </w:p>
        </w:tc>
      </w:tr>
      <w:tr>
        <w:trPr>
          <w:trHeight w:hRule="auto"/>
          <w:cantSplit/>
        </w:trPr>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PUBLIC</w:t>
            </w:r>
          </w:p>
        </w:tc>
        <w:tc>
          <w:tcPr>
            <w:tcW w:type="dxa" w:w="3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Yayımlanmış hizmet açıklaması</w:t>
            </w:r>
          </w:p>
        </w:tc>
        <w:tc>
          <w:tcPr>
            <w:tcW w:type="dxa" w:w="4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Genel erişim</w:t>
            </w:r>
          </w:p>
        </w:tc>
      </w:tr>
      <w:tr>
        <w:trPr>
          <w:trHeight w:hRule="auto"/>
          <w:cantSplit/>
        </w:trPr>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INTERNAL</w:t>
            </w:r>
          </w:p>
        </w:tc>
        <w:tc>
          <w:tcPr>
            <w:tcW w:type="dxa" w:w="3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İç süreç ve görev durumu</w:t>
            </w:r>
          </w:p>
        </w:tc>
        <w:tc>
          <w:tcPr>
            <w:tcW w:type="dxa" w:w="4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3E çalışanları/atanan ekip</w:t>
            </w:r>
          </w:p>
        </w:tc>
      </w:tr>
      <w:tr>
        <w:trPr>
          <w:trHeight w:hRule="auto"/>
          <w:cantSplit/>
        </w:trPr>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CONFIDENTIAL</w:t>
            </w:r>
          </w:p>
        </w:tc>
        <w:tc>
          <w:tcPr>
            <w:tcW w:type="dxa" w:w="3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 tedarikçi, fiyat, teknik dosya</w:t>
            </w:r>
          </w:p>
        </w:tc>
        <w:tc>
          <w:tcPr>
            <w:tcW w:type="dxa" w:w="4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Tenant/proje/rol bazlı</w:t>
            </w:r>
          </w:p>
        </w:tc>
      </w:tr>
      <w:tr>
        <w:trPr>
          <w:trHeight w:hRule="auto"/>
          <w:cantSplit/>
        </w:trPr>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RESTRICTED</w:t>
            </w:r>
          </w:p>
        </w:tc>
        <w:tc>
          <w:tcPr>
            <w:tcW w:type="dxa" w:w="3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Kişisel veri, ticari sır, kritik güvenlik verisi</w:t>
            </w:r>
          </w:p>
        </w:tc>
        <w:tc>
          <w:tcPr>
            <w:tcW w:type="dxa" w:w="42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MFA, maskeleme, dar rol, ayrıntılı audit</w:t>
            </w:r>
          </w:p>
        </w:tc>
      </w:tr>
    </w:tbl>
    <w:p>
      <w:pPr>
        <w:spacing w:after="20"/>
      </w:pPr>
    </w:p>
    <w:p>
      <w:pPr>
        <w:pStyle w:val="Heading2"/>
        <w:keepNext/>
        <w:keepLines/>
      </w:pPr>
      <w:r>
        <w:t>13.4 Güvenlik Gereksinimleri</w:t>
      </w:r>
    </w:p>
    <w:p>
      <w:pPr>
        <w:numPr>
          <w:ilvl w:val="0"/>
          <w:numId w:val="10"/>
        </w:numPr>
        <w:spacing w:before="0" w:after="80" w:line="280" w:lineRule="auto"/>
        <w:ind w:left="720" w:hanging="360"/>
      </w:pPr>
      <w:r>
        <w:rPr>
          <w:rFonts w:ascii="Calibri" w:hAnsi="Calibri" w:eastAsia="Calibri"/>
          <w:color w:val="1F2933"/>
          <w:sz w:val="22"/>
        </w:rPr>
        <w:t>TLS; depoda şifreleme; gizli anahtar kasası; düzenli anahtar rotasyonu</w:t>
      </w:r>
    </w:p>
    <w:p>
      <w:pPr>
        <w:numPr>
          <w:ilvl w:val="0"/>
          <w:numId w:val="10"/>
        </w:numPr>
        <w:spacing w:before="0" w:after="80" w:line="280" w:lineRule="auto"/>
        <w:ind w:left="720" w:hanging="360"/>
      </w:pPr>
      <w:r>
        <w:rPr>
          <w:rFonts w:ascii="Calibri" w:hAnsi="Calibri" w:eastAsia="Calibri"/>
          <w:color w:val="1F2933"/>
          <w:sz w:val="22"/>
        </w:rPr>
        <w:t>MFA; kurumsal SSO; servis hesaplarında kısa ömürlü kimlik ve minimum kapsam</w:t>
      </w:r>
    </w:p>
    <w:p>
      <w:pPr>
        <w:numPr>
          <w:ilvl w:val="0"/>
          <w:numId w:val="10"/>
        </w:numPr>
        <w:spacing w:before="0" w:after="80" w:line="280" w:lineRule="auto"/>
        <w:ind w:left="720" w:hanging="360"/>
      </w:pPr>
      <w:r>
        <w:rPr>
          <w:rFonts w:ascii="Calibri" w:hAnsi="Calibri" w:eastAsia="Calibri"/>
          <w:color w:val="1F2933"/>
          <w:sz w:val="22"/>
        </w:rPr>
        <w:t>OWASP sınıfı uygulama güvenliği kontrolleri; SAST, dependency ve container taraması</w:t>
      </w:r>
    </w:p>
    <w:p>
      <w:pPr>
        <w:numPr>
          <w:ilvl w:val="0"/>
          <w:numId w:val="10"/>
        </w:numPr>
        <w:spacing w:before="0" w:after="80" w:line="280" w:lineRule="auto"/>
        <w:ind w:left="720" w:hanging="360"/>
      </w:pPr>
      <w:r>
        <w:rPr>
          <w:rFonts w:ascii="Calibri" w:hAnsi="Calibri" w:eastAsia="Calibri"/>
          <w:color w:val="1F2933"/>
          <w:sz w:val="22"/>
        </w:rPr>
        <w:t>Dosya yüklemede boyut/tür kontrolü, malware taraması, hash ve karantina</w:t>
      </w:r>
    </w:p>
    <w:p>
      <w:pPr>
        <w:numPr>
          <w:ilvl w:val="0"/>
          <w:numId w:val="10"/>
        </w:numPr>
        <w:spacing w:before="0" w:after="80" w:line="280" w:lineRule="auto"/>
        <w:ind w:left="720" w:hanging="360"/>
      </w:pPr>
      <w:r>
        <w:rPr>
          <w:rFonts w:ascii="Calibri" w:hAnsi="Calibri" w:eastAsia="Calibri"/>
          <w:color w:val="1F2933"/>
          <w:sz w:val="22"/>
        </w:rPr>
        <w:t>Tenant izolasyon testleri; IDOR ve yetki yükseltme senaryoları</w:t>
      </w:r>
    </w:p>
    <w:p>
      <w:pPr>
        <w:numPr>
          <w:ilvl w:val="0"/>
          <w:numId w:val="10"/>
        </w:numPr>
        <w:spacing w:before="0" w:after="80" w:line="280" w:lineRule="auto"/>
        <w:ind w:left="720" w:hanging="360"/>
      </w:pPr>
      <w:r>
        <w:rPr>
          <w:rFonts w:ascii="Calibri" w:hAnsi="Calibri" w:eastAsia="Calibri"/>
          <w:color w:val="1F2933"/>
          <w:sz w:val="22"/>
        </w:rPr>
        <w:t>Kişisel veri minimizasyonu, amaç/saklama/erişim kaydı ve silme-anonimleştirme akışı</w:t>
      </w:r>
    </w:p>
    <w:p>
      <w:pPr>
        <w:numPr>
          <w:ilvl w:val="0"/>
          <w:numId w:val="10"/>
        </w:numPr>
        <w:spacing w:before="0" w:after="80" w:line="280" w:lineRule="auto"/>
        <w:ind w:left="720" w:hanging="360"/>
      </w:pPr>
      <w:r>
        <w:rPr>
          <w:rFonts w:ascii="Calibri" w:hAnsi="Calibri" w:eastAsia="Calibri"/>
          <w:color w:val="1F2933"/>
          <w:sz w:val="22"/>
        </w:rPr>
        <w:t>Değiştirilemez audit deposu veya bütünlük zinciri; saat senkronizasyonu</w:t>
      </w:r>
    </w:p>
    <w:p>
      <w:pPr>
        <w:numPr>
          <w:ilvl w:val="0"/>
          <w:numId w:val="10"/>
        </w:numPr>
        <w:spacing w:before="0" w:after="80" w:line="280" w:lineRule="auto"/>
        <w:ind w:left="720" w:hanging="360"/>
      </w:pPr>
      <w:r>
        <w:rPr>
          <w:rFonts w:ascii="Calibri" w:hAnsi="Calibri" w:eastAsia="Calibri"/>
          <w:color w:val="1F2933"/>
          <w:sz w:val="22"/>
        </w:rPr>
        <w:t>Yedekleme, geri yükleme testi, felaket kurtarma ve kritik bağımlılık envanteri</w:t>
      </w:r>
    </w:p>
    <w:p>
      <w:pPr>
        <w:pStyle w:val="Heading1"/>
        <w:keepNext/>
        <w:keepLines/>
      </w:pPr>
      <w:r>
        <w:t>14. Yapay Zekâ ve Uzman Ajan Katmanı</w:t>
      </w:r>
    </w:p>
    <w:tbl>
      <w:tblPr>
        <w:tblStyle w:val="TableGrid"/>
        <w:tblW w:type="dxa" w:w="9360"/>
        <w:jc w:val="left"/>
        <w:tblLayout w:type="fixed"/>
        <w:tblLook w:firstColumn="1" w:firstRow="1" w:lastColumn="0" w:lastRow="0" w:noHBand="0" w:noVBand="1" w:val="04A0"/>
        <w:tblInd w:w="120" w:type="dxa"/>
        <w:tblBorders>
          <w:top w:val="single" w:sz="6" w:space="0" w:color="B58A2A"/>
          <w:left w:val="single" w:sz="6" w:space="0" w:color="B58A2A"/>
          <w:bottom w:val="single" w:sz="6" w:space="0" w:color="B58A2A"/>
          <w:right w:val="single" w:sz="6" w:space="0" w:color="B58A2A"/>
          <w:insideH w:val="single" w:sz="6" w:space="0" w:color="B58A2A"/>
          <w:insideV w:val="single" w:sz="6" w:space="0" w:color="B58A2A"/>
        </w:tblBorders>
      </w:tblPr>
      <w:tblGrid>
        <w:gridCol w:w="9360"/>
      </w:tblGrid>
      <w:tr>
        <w:trPr>
          <w:trHeight w:hRule="auto"/>
          <w:cantSplit/>
        </w:trPr>
        <w:tc>
          <w:tcPr>
            <w:tcW w:type="dxa" w:w="9360"/>
            <w:tcMar>
              <w:top w:w="140" w:type="dxa"/>
              <w:start w:w="180" w:type="dxa"/>
              <w:bottom w:w="140" w:type="dxa"/>
              <w:end w:w="180" w:type="dxa"/>
            </w:tcMar>
            <w:vAlign w:val="center"/>
            <w:shd w:fill="F8F1DF"/>
          </w:tcPr>
          <w:p>
            <w:pPr>
              <w:spacing w:after="60"/>
            </w:pPr>
            <w:r>
              <w:rPr>
                <w:rFonts w:ascii="Calibri" w:hAnsi="Calibri" w:eastAsia="Calibri"/>
                <w:b/>
                <w:color w:val="B58A2A"/>
                <w:sz w:val="18"/>
              </w:rPr>
              <w:t>KRITIK ILKE</w:t>
            </w:r>
          </w:p>
          <w:p>
            <w:pPr>
              <w:spacing w:before="0" w:after="0" w:line="269" w:lineRule="auto"/>
            </w:pPr>
            <w:r>
              <w:rPr>
                <w:rFonts w:ascii="Calibri" w:hAnsi="Calibri" w:eastAsia="Calibri"/>
                <w:color w:val="1F2933"/>
                <w:sz w:val="20"/>
              </w:rPr>
              <w:t>Ajan, hizmet modülünün yerine geçmez; onaylı veri ve kurallar üzerinde çalışan, kaynak gösteren ve belirlenmiş yetki sınırında öneri/otomasyon üreten kontrollü bir işçidir.</w:t>
            </w:r>
          </w:p>
        </w:tc>
      </w:tr>
    </w:tbl>
    <w:p>
      <w:pPr>
        <w:spacing w:after="20"/>
      </w:pP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500"/>
        <w:gridCol w:w="3900"/>
        <w:gridCol w:w="2960"/>
      </w:tblGrid>
      <w:tr>
        <w:trPr>
          <w:trHeight w:hRule="auto"/>
          <w:tblHeader w:val="true"/>
          <w:cantSplit/>
        </w:trPr>
        <w:tc>
          <w:tcPr>
            <w:tcW w:type="dxa" w:w="25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Ajan</w:t>
            </w:r>
          </w:p>
        </w:tc>
        <w:tc>
          <w:tcPr>
            <w:tcW w:type="dxa" w:w="39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İzinli kullanım</w:t>
            </w:r>
          </w:p>
        </w:tc>
        <w:tc>
          <w:tcPr>
            <w:tcW w:type="dxa" w:w="296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İnsan kararı</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3E Teşhis Ajanı</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Talep özetleme, eksik soru, kanıt adayı</w:t>
            </w:r>
          </w:p>
        </w:tc>
        <w:tc>
          <w:tcPr>
            <w:tcW w:type="dxa" w:w="2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İhtiyaç/sonuç kararı insan</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Modal Uyum Ajanı</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ADR/RID/IMDG/DGR kontrol taslağı</w:t>
            </w:r>
          </w:p>
        </w:tc>
        <w:tc>
          <w:tcPr>
            <w:tcW w:type="dxa" w:w="2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Sınıflandırma ve resmî karar uzman</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EUDR Ajanı</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Kapsam adayı, veri eksikliği, DDS taslağı</w:t>
            </w:r>
          </w:p>
        </w:tc>
        <w:tc>
          <w:tcPr>
            <w:tcW w:type="dxa" w:w="2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Risk ve DDS onayı uzman</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CBAM Ajanı</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Veri eşleme, hesap kontrolü, senaryo</w:t>
            </w:r>
          </w:p>
        </w:tc>
        <w:tc>
          <w:tcPr>
            <w:tcW w:type="dxa" w:w="2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Beyan/hüküm onayı uzman</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PPWR Ajanı</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Ambalaj bileşeni ve gereklilik eşleme</w:t>
            </w:r>
          </w:p>
        </w:tc>
        <w:tc>
          <w:tcPr>
            <w:tcW w:type="dxa" w:w="2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İstisna/uyum kararı uzman</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Eğitim Ajanı</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Yetkinlik açığı ve program önerisi</w:t>
            </w:r>
          </w:p>
        </w:tc>
        <w:tc>
          <w:tcPr>
            <w:tcW w:type="dxa" w:w="2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Yetkilendirme eğitmen/kurul</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Gözetim Ajanı</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Kontrol planı ve rapor taslağı</w:t>
            </w:r>
          </w:p>
        </w:tc>
        <w:tc>
          <w:tcPr>
            <w:tcW w:type="dxa" w:w="2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Saha bulgusu ve rapor gözetmen</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Lojistik Ajanı</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Araç/sürücü/görev uygunluk önerisi</w:t>
            </w:r>
          </w:p>
        </w:tc>
        <w:tc>
          <w:tcPr>
            <w:tcW w:type="dxa" w:w="2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Kritik görevlendirme yetkili</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Enerji/Aydınlatma Ajanı</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Tüketim/tasarruf/anomali analizi</w:t>
            </w:r>
          </w:p>
        </w:tc>
        <w:tc>
          <w:tcPr>
            <w:tcW w:type="dxa" w:w="2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Proje ve yatırım kararı insan</w:t>
            </w:r>
          </w:p>
        </w:tc>
      </w:tr>
      <w:tr>
        <w:trPr>
          <w:trHeight w:hRule="auto"/>
          <w:cantSplit/>
        </w:trPr>
        <w:tc>
          <w:tcPr>
            <w:tcW w:type="dxa" w:w="2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Bilgi/Yayın Ajanı</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Kaynaklı özet ve içerik türetme</w:t>
            </w:r>
          </w:p>
        </w:tc>
        <w:tc>
          <w:tcPr>
            <w:tcW w:type="dxa" w:w="2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Editoryal ve telif onayı insan</w:t>
            </w:r>
          </w:p>
        </w:tc>
      </w:tr>
    </w:tbl>
    <w:p>
      <w:pPr>
        <w:spacing w:after="20"/>
      </w:pPr>
    </w:p>
    <w:p>
      <w:pPr>
        <w:pStyle w:val="Heading2"/>
        <w:keepNext/>
        <w:keepLines/>
      </w:pPr>
      <w:r>
        <w:t>14.1 Ajan Çıktı Kaydı</w:t>
      </w:r>
    </w:p>
    <w:p>
      <w:pPr>
        <w:numPr>
          <w:ilvl w:val="0"/>
          <w:numId w:val="10"/>
        </w:numPr>
        <w:spacing w:before="0" w:after="80" w:line="280" w:lineRule="auto"/>
        <w:ind w:left="720" w:hanging="360"/>
      </w:pPr>
      <w:r>
        <w:rPr>
          <w:rFonts w:ascii="Calibri" w:hAnsi="Calibri" w:eastAsia="Calibri"/>
          <w:color w:val="1F2933"/>
          <w:sz w:val="22"/>
        </w:rPr>
        <w:t>Kullanılan model ve sürüm</w:t>
      </w:r>
    </w:p>
    <w:p>
      <w:pPr>
        <w:numPr>
          <w:ilvl w:val="0"/>
          <w:numId w:val="10"/>
        </w:numPr>
        <w:spacing w:before="0" w:after="80" w:line="280" w:lineRule="auto"/>
        <w:ind w:left="720" w:hanging="360"/>
      </w:pPr>
      <w:r>
        <w:rPr>
          <w:rFonts w:ascii="Calibri" w:hAnsi="Calibri" w:eastAsia="Calibri"/>
          <w:color w:val="1F2933"/>
          <w:sz w:val="22"/>
        </w:rPr>
        <w:t>Prompt/iş akışı sürümü</w:t>
      </w:r>
    </w:p>
    <w:p>
      <w:pPr>
        <w:numPr>
          <w:ilvl w:val="0"/>
          <w:numId w:val="10"/>
        </w:numPr>
        <w:spacing w:before="0" w:after="80" w:line="280" w:lineRule="auto"/>
        <w:ind w:left="720" w:hanging="360"/>
      </w:pPr>
      <w:r>
        <w:rPr>
          <w:rFonts w:ascii="Calibri" w:hAnsi="Calibri" w:eastAsia="Calibri"/>
          <w:color w:val="1F2933"/>
          <w:sz w:val="22"/>
        </w:rPr>
        <w:t>Erişilen kaynak, doküman sürümü ve alıntı referansı</w:t>
      </w:r>
    </w:p>
    <w:p>
      <w:pPr>
        <w:numPr>
          <w:ilvl w:val="0"/>
          <w:numId w:val="10"/>
        </w:numPr>
        <w:spacing w:before="0" w:after="80" w:line="280" w:lineRule="auto"/>
        <w:ind w:left="720" w:hanging="360"/>
      </w:pPr>
      <w:r>
        <w:rPr>
          <w:rFonts w:ascii="Calibri" w:hAnsi="Calibri" w:eastAsia="Calibri"/>
          <w:color w:val="1F2933"/>
          <w:sz w:val="22"/>
        </w:rPr>
        <w:t>Girdi veri anlık görüntüsü ve tenant</w:t>
      </w:r>
    </w:p>
    <w:p>
      <w:pPr>
        <w:numPr>
          <w:ilvl w:val="0"/>
          <w:numId w:val="10"/>
        </w:numPr>
        <w:spacing w:before="0" w:after="80" w:line="280" w:lineRule="auto"/>
        <w:ind w:left="720" w:hanging="360"/>
      </w:pPr>
      <w:r>
        <w:rPr>
          <w:rFonts w:ascii="Calibri" w:hAnsi="Calibri" w:eastAsia="Calibri"/>
          <w:color w:val="1F2933"/>
          <w:sz w:val="22"/>
        </w:rPr>
        <w:t>Çıktı, güven/uyarı ve sınırlar</w:t>
      </w:r>
    </w:p>
    <w:p>
      <w:pPr>
        <w:numPr>
          <w:ilvl w:val="0"/>
          <w:numId w:val="10"/>
        </w:numPr>
        <w:spacing w:before="0" w:after="80" w:line="280" w:lineRule="auto"/>
        <w:ind w:left="720" w:hanging="360"/>
      </w:pPr>
      <w:r>
        <w:rPr>
          <w:rFonts w:ascii="Calibri" w:hAnsi="Calibri" w:eastAsia="Calibri"/>
          <w:color w:val="1F2933"/>
          <w:sz w:val="22"/>
        </w:rPr>
        <w:t>İnsan onayı, değişikliği, reddi ve gerekçesi</w:t>
      </w:r>
    </w:p>
    <w:p>
      <w:pPr>
        <w:numPr>
          <w:ilvl w:val="0"/>
          <w:numId w:val="10"/>
        </w:numPr>
        <w:spacing w:before="0" w:after="80" w:line="280" w:lineRule="auto"/>
        <w:ind w:left="720" w:hanging="360"/>
      </w:pPr>
      <w:r>
        <w:rPr>
          <w:rFonts w:ascii="Calibri" w:hAnsi="Calibri" w:eastAsia="Calibri"/>
          <w:color w:val="1F2933"/>
          <w:sz w:val="22"/>
        </w:rPr>
        <w:t>Sonraki gerçek sonuç ve hata geri bildirimi</w:t>
      </w:r>
    </w:p>
    <w:p>
      <w:pPr>
        <w:pStyle w:val="Heading2"/>
        <w:keepNext/>
        <w:keepLines/>
      </w:pPr>
      <w:r>
        <w:t>14.2 Ajan Risk Kapıları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1500"/>
        <w:gridCol w:w="3500"/>
        <w:gridCol w:w="4360"/>
      </w:tblGrid>
      <w:tr>
        <w:trPr>
          <w:trHeight w:hRule="auto"/>
          <w:tblHeader w:val="true"/>
          <w:cantSplit/>
        </w:trPr>
        <w:tc>
          <w:tcPr>
            <w:tcW w:type="dxa" w:w="15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Risk</w:t>
            </w:r>
          </w:p>
        </w:tc>
        <w:tc>
          <w:tcPr>
            <w:tcW w:type="dxa" w:w="35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Örnek</w:t>
            </w:r>
          </w:p>
        </w:tc>
        <w:tc>
          <w:tcPr>
            <w:tcW w:type="dxa" w:w="43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İzin</w:t>
            </w:r>
          </w:p>
        </w:tc>
      </w:tr>
      <w:tr>
        <w:trPr>
          <w:trHeight w:hRule="auto"/>
          <w:cantSplit/>
        </w:trPr>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Düşük</w:t>
            </w:r>
          </w:p>
        </w:tc>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İç metin özetleme, görev taslağı</w:t>
            </w:r>
          </w:p>
        </w:tc>
        <w:tc>
          <w:tcPr>
            <w:tcW w:type="dxa" w:w="4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Kullanıcı incelemesi</w:t>
            </w:r>
          </w:p>
        </w:tc>
      </w:tr>
      <w:tr>
        <w:trPr>
          <w:trHeight w:hRule="auto"/>
          <w:cantSplit/>
        </w:trPr>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Orta</w:t>
            </w:r>
          </w:p>
        </w:tc>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Veri kalite anomali önerisi</w:t>
            </w:r>
          </w:p>
        </w:tc>
        <w:tc>
          <w:tcPr>
            <w:tcW w:type="dxa" w:w="4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İnsan döngüde</w:t>
            </w:r>
          </w:p>
        </w:tc>
      </w:tr>
      <w:tr>
        <w:trPr>
          <w:trHeight w:hRule="auto"/>
          <w:cantSplit/>
        </w:trPr>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Yüksek</w:t>
            </w:r>
          </w:p>
        </w:tc>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Tedarikçi/ürün uyum sınıfı önerisi</w:t>
            </w:r>
          </w:p>
        </w:tc>
        <w:tc>
          <w:tcPr>
            <w:tcW w:type="dxa" w:w="4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Yetkili uzman onayı ve açıklanabilirlik</w:t>
            </w:r>
          </w:p>
        </w:tc>
      </w:tr>
      <w:tr>
        <w:trPr>
          <w:trHeight w:hRule="auto"/>
          <w:cantSplit/>
        </w:trPr>
        <w:tc>
          <w:tcPr>
            <w:tcW w:type="dxa" w:w="1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Kritik</w:t>
            </w:r>
          </w:p>
        </w:tc>
        <w:tc>
          <w:tcPr>
            <w:tcW w:type="dxa" w:w="35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İnsan güvenliği veya resmî beyanı etkileyen otomatik karar</w:t>
            </w:r>
          </w:p>
        </w:tc>
        <w:tc>
          <w:tcPr>
            <w:tcW w:type="dxa" w:w="4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Varsayılan yasak; özel risk onayı ve fail-safe olmadan üretime alınmaz</w:t>
            </w:r>
          </w:p>
        </w:tc>
      </w:tr>
    </w:tbl>
    <w:p>
      <w:pPr>
        <w:spacing w:after="20"/>
      </w:pPr>
    </w:p>
    <w:p>
      <w:pPr>
        <w:pStyle w:val="Heading1"/>
        <w:keepNext/>
        <w:keepLines/>
      </w:pPr>
      <w:r>
        <w:t>15. Fonksiyonel Olmayan Gereksinimler</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1900"/>
        <w:gridCol w:w="5100"/>
        <w:gridCol w:w="2360"/>
      </w:tblGrid>
      <w:tr>
        <w:trPr>
          <w:trHeight w:hRule="auto"/>
          <w:tblHeader w:val="true"/>
          <w:cantSplit/>
        </w:trPr>
        <w:tc>
          <w:tcPr>
            <w:tcW w:type="dxa" w:w="19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Boyut</w:t>
            </w:r>
          </w:p>
        </w:tc>
        <w:tc>
          <w:tcPr>
            <w:tcW w:type="dxa" w:w="51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Hedef</w:t>
            </w:r>
          </w:p>
        </w:tc>
        <w:tc>
          <w:tcPr>
            <w:tcW w:type="dxa" w:w="236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Doğrulama</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Kullanılabilirlik</w:t>
            </w:r>
          </w:p>
        </w:tc>
        <w:tc>
          <w:tcPr>
            <w:tcW w:type="dxa" w:w="5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Aylık %99,5 MVP; kritik üretimde hedef %99,9</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Uptime ve iş etkili kesinti</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Yanıt süresi</w:t>
            </w:r>
          </w:p>
        </w:tc>
        <w:tc>
          <w:tcPr>
            <w:tcW w:type="dxa" w:w="5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P95 okuma &lt; 2 sn; standart komut &lt; 3 sn</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APM</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Asenkron işlem</w:t>
            </w:r>
          </w:p>
        </w:tc>
        <w:tc>
          <w:tcPr>
            <w:tcW w:type="dxa" w:w="5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%99 olay 60 sn içinde tüketim; kritik olay 10 sn hedef</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Queue age</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Ölçek</w:t>
            </w:r>
          </w:p>
        </w:tc>
        <w:tc>
          <w:tcPr>
            <w:tcW w:type="dxa" w:w="5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Başlangıçta 100 tenant/2.000 aktif kullanıcı/1 milyon iş kaydı; yatay büyüme</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Load test</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Dosya</w:t>
            </w:r>
          </w:p>
        </w:tc>
        <w:tc>
          <w:tcPr>
            <w:tcW w:type="dxa" w:w="5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Varsayılan 100 MB; büyük dosya parçalı yükleme</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Upload başarısı</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Arama</w:t>
            </w:r>
          </w:p>
        </w:tc>
        <w:tc>
          <w:tcPr>
            <w:tcW w:type="dxa" w:w="5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Yetkili sonuç P95 &lt; 3 sn</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Search latency</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RPO/RTO</w:t>
            </w:r>
          </w:p>
        </w:tc>
        <w:tc>
          <w:tcPr>
            <w:tcW w:type="dxa" w:w="5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Kritik işlemsel veri RPO ≤15 dk, RTO ≤4 saat; üretimde kesinleştir</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DR testi</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Audit</w:t>
            </w:r>
          </w:p>
        </w:tc>
        <w:tc>
          <w:tcPr>
            <w:tcW w:type="dxa" w:w="5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Kritik işlemlerde %100 aktör/zaman/kural/önce-sonra izi</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Audit coverage</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Erişilebilirlik</w:t>
            </w:r>
          </w:p>
        </w:tc>
        <w:tc>
          <w:tcPr>
            <w:tcW w:type="dxa" w:w="5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WCAG 2.1 AA hedefi</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Otomatik + kullanıcı testi</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Yerelleştirme</w:t>
            </w:r>
          </w:p>
        </w:tc>
        <w:tc>
          <w:tcPr>
            <w:tcW w:type="dxa" w:w="5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TR/EN çekirdek; tarih/saat/birim/para birimi yerel</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Locale test</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Saklama</w:t>
            </w:r>
          </w:p>
        </w:tc>
        <w:tc>
          <w:tcPr>
            <w:tcW w:type="dxa" w:w="5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Kayıt türü/ülke/sözleşme bazlı politika</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Retention job</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Gözlemlenebilirlik</w:t>
            </w:r>
          </w:p>
        </w:tc>
        <w:tc>
          <w:tcPr>
            <w:tcW w:type="dxa" w:w="5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Trace + correlation + business impact</w:t>
            </w:r>
          </w:p>
        </w:tc>
        <w:tc>
          <w:tcPr>
            <w:tcW w:type="dxa" w:w="2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MTTD/MTTR</w:t>
            </w:r>
          </w:p>
        </w:tc>
      </w:tr>
    </w:tbl>
    <w:p>
      <w:pPr>
        <w:spacing w:after="20"/>
      </w:pPr>
    </w:p>
    <w:p>
      <w:pPr>
        <w:pStyle w:val="Heading2"/>
        <w:keepNext/>
        <w:keepLines/>
      </w:pPr>
      <w:r>
        <w:t>15.1 Dayanıklılık ve Kesinti</w:t>
      </w:r>
    </w:p>
    <w:p>
      <w:pPr>
        <w:numPr>
          <w:ilvl w:val="0"/>
          <w:numId w:val="10"/>
        </w:numPr>
        <w:spacing w:before="0" w:after="80" w:line="280" w:lineRule="auto"/>
        <w:ind w:left="720" w:hanging="360"/>
      </w:pPr>
      <w:r>
        <w:rPr>
          <w:rFonts w:ascii="Calibri" w:hAnsi="Calibri" w:eastAsia="Calibri"/>
          <w:color w:val="1F2933"/>
          <w:sz w:val="22"/>
        </w:rPr>
        <w:t>Kritik dış entegrasyon yoksa işlem güvenli bekleme durumuna alınır; kullanıcıya sessiz başarı gösterilmez.</w:t>
      </w:r>
    </w:p>
    <w:p>
      <w:pPr>
        <w:numPr>
          <w:ilvl w:val="0"/>
          <w:numId w:val="10"/>
        </w:numPr>
        <w:spacing w:before="0" w:after="80" w:line="280" w:lineRule="auto"/>
        <w:ind w:left="720" w:hanging="360"/>
      </w:pPr>
      <w:r>
        <w:rPr>
          <w:rFonts w:ascii="Calibri" w:hAnsi="Calibri" w:eastAsia="Calibri"/>
          <w:color w:val="1F2933"/>
          <w:sz w:val="22"/>
        </w:rPr>
        <w:t>Düşük riskli sorgularda son bilinen veri, yaş ve kaynak uyarısıyla gösterilebilir; yüksek riskli onayda kullanılamaz.</w:t>
      </w:r>
    </w:p>
    <w:p>
      <w:pPr>
        <w:numPr>
          <w:ilvl w:val="0"/>
          <w:numId w:val="10"/>
        </w:numPr>
        <w:spacing w:before="0" w:after="80" w:line="280" w:lineRule="auto"/>
        <w:ind w:left="720" w:hanging="360"/>
      </w:pPr>
      <w:r>
        <w:rPr>
          <w:rFonts w:ascii="Calibri" w:hAnsi="Calibri" w:eastAsia="Calibri"/>
          <w:color w:val="1F2933"/>
          <w:sz w:val="22"/>
        </w:rPr>
        <w:t>Saha PWA çevrimdışı veri toplar; yüksek riskli nihai onay bağlantı olmadan verilmez.</w:t>
      </w:r>
    </w:p>
    <w:p>
      <w:pPr>
        <w:numPr>
          <w:ilvl w:val="0"/>
          <w:numId w:val="10"/>
        </w:numPr>
        <w:spacing w:before="0" w:after="80" w:line="280" w:lineRule="auto"/>
        <w:ind w:left="720" w:hanging="360"/>
      </w:pPr>
      <w:r>
        <w:rPr>
          <w:rFonts w:ascii="Calibri" w:hAnsi="Calibri" w:eastAsia="Calibri"/>
          <w:color w:val="1F2933"/>
          <w:sz w:val="22"/>
        </w:rPr>
        <w:t>Telafi edici işlem, dağıtılmış iş akışında önceki modülün kaydını silmez; karşıt kayıt oluşturur.</w:t>
      </w:r>
    </w:p>
    <w:p>
      <w:pPr>
        <w:numPr>
          <w:ilvl w:val="0"/>
          <w:numId w:val="10"/>
        </w:numPr>
        <w:spacing w:before="0" w:after="80" w:line="280" w:lineRule="auto"/>
        <w:ind w:left="720" w:hanging="360"/>
      </w:pPr>
      <w:r>
        <w:rPr>
          <w:rFonts w:ascii="Calibri" w:hAnsi="Calibri" w:eastAsia="Calibri"/>
          <w:color w:val="1F2933"/>
          <w:sz w:val="22"/>
        </w:rPr>
        <w:t>Kritik süreçler için kontrollü manuel yedek form, kullanım yetkisi ve sonradan uzlaştırma bulunur.</w:t>
      </w:r>
    </w:p>
    <w:p>
      <w:pPr>
        <w:pStyle w:val="Heading1"/>
        <w:keepNext/>
        <w:keepLines/>
      </w:pPr>
      <w:r>
        <w:t>16. Ekran ve Kullanıcı Deneyimi Gereksinimleri</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600"/>
        <w:gridCol w:w="6760"/>
      </w:tblGrid>
      <w:tr>
        <w:trPr>
          <w:trHeight w:hRule="auto"/>
          <w:tblHeader w:val="true"/>
          <w:cantSplit/>
        </w:trPr>
        <w:tc>
          <w:tcPr>
            <w:tcW w:type="dxa" w:w="26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Ekran</w:t>
            </w:r>
          </w:p>
        </w:tc>
        <w:tc>
          <w:tcPr>
            <w:tcW w:type="dxa" w:w="676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Ana içerik</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Ana kontrol kulesi</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Müşteri/tenant filtresi, açık risk, karar, SLA, veri kalitesi, fayda</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Yeni talep sihirbazı</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Hizmet niyeti, olay, hedef, tarih, kapsam, ilk kanıt</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3E teşhis çalışma alanı</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Soru seti, paydaş görüşü, kanıt, puan, problem/sonuç</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Hizmet grafiği tasarımcısı</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Düğümler, bağımlılık, sağlayıcı, süre, maliyet, karar kapısı</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Kompozit teklif</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 görünümü + iç maliyet/gelir paylaşımı + onaylar</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Proje/iş emri panosu</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Durum, RACI, bağımlılık, SLA, engel, kanıt</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Kural stüdyosu</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Kaynak, yürürlük, karar tablosu, test, etki analizi, yayın</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Tedarikçi veri talebi</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Neden istendiği, alan/kanıt, örnek, süre, hata</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Saha mobil</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Görev, offline form, medya, ölçüm, imza, uygunsuzluk</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Uzman inceleme</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Girdi, kural sürümü, hesaplama, kaynak, karar ve ikinci kontrol</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 portalı</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Tek durum, görev, belgeler, risk, sonuç ve kabul</w:t>
            </w:r>
          </w:p>
        </w:tc>
      </w:tr>
      <w:tr>
        <w:trPr>
          <w:trHeight w:hRule="auto"/>
          <w:cantSplit/>
        </w:trPr>
        <w:tc>
          <w:tcPr>
            <w:tcW w:type="dxa" w:w="2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Entegrasyon izleme</w:t>
            </w:r>
          </w:p>
        </w:tc>
        <w:tc>
          <w:tcPr>
            <w:tcW w:type="dxa" w:w="6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Bağlantı sağlığı, kuyruk, hata, uzlaştırma, iş etkisi</w:t>
            </w:r>
          </w:p>
        </w:tc>
      </w:tr>
    </w:tbl>
    <w:p>
      <w:pPr>
        <w:spacing w:after="20"/>
      </w:pPr>
    </w:p>
    <w:p>
      <w:pPr>
        <w:pStyle w:val="Heading2"/>
        <w:keepNext/>
        <w:keepLines/>
      </w:pPr>
      <w:r>
        <w:t>16.1 UX İlkeleri</w:t>
      </w:r>
    </w:p>
    <w:p>
      <w:pPr>
        <w:numPr>
          <w:ilvl w:val="0"/>
          <w:numId w:val="10"/>
        </w:numPr>
        <w:spacing w:before="0" w:after="80" w:line="280" w:lineRule="auto"/>
        <w:ind w:left="720" w:hanging="360"/>
      </w:pPr>
      <w:r>
        <w:rPr>
          <w:rFonts w:ascii="Calibri" w:hAnsi="Calibri" w:eastAsia="Calibri"/>
          <w:color w:val="1F2933"/>
          <w:sz w:val="22"/>
        </w:rPr>
        <w:t>Kullanıcı rolüyle ilgisiz alan ve bildirim görmez.</w:t>
      </w:r>
    </w:p>
    <w:p>
      <w:pPr>
        <w:numPr>
          <w:ilvl w:val="0"/>
          <w:numId w:val="10"/>
        </w:numPr>
        <w:spacing w:before="0" w:after="80" w:line="280" w:lineRule="auto"/>
        <w:ind w:left="720" w:hanging="360"/>
      </w:pPr>
      <w:r>
        <w:rPr>
          <w:rFonts w:ascii="Calibri" w:hAnsi="Calibri" w:eastAsia="Calibri"/>
          <w:color w:val="1F2933"/>
          <w:sz w:val="22"/>
        </w:rPr>
        <w:t>Zorunlu alanın neden istendiği ve hangi karar için kullanıldığı açıklanır.</w:t>
      </w:r>
    </w:p>
    <w:p>
      <w:pPr>
        <w:numPr>
          <w:ilvl w:val="0"/>
          <w:numId w:val="10"/>
        </w:numPr>
        <w:spacing w:before="0" w:after="80" w:line="280" w:lineRule="auto"/>
        <w:ind w:left="720" w:hanging="360"/>
      </w:pPr>
      <w:r>
        <w:rPr>
          <w:rFonts w:ascii="Calibri" w:hAnsi="Calibri" w:eastAsia="Calibri"/>
          <w:color w:val="1F2933"/>
          <w:sz w:val="22"/>
        </w:rPr>
        <w:t>Aynı veri ikinci kez istenmez; mevcut değer, kaynak ve geçerlilik gösterilir.</w:t>
      </w:r>
    </w:p>
    <w:p>
      <w:pPr>
        <w:numPr>
          <w:ilvl w:val="0"/>
          <w:numId w:val="10"/>
        </w:numPr>
        <w:spacing w:before="0" w:after="80" w:line="280" w:lineRule="auto"/>
        <w:ind w:left="720" w:hanging="360"/>
      </w:pPr>
      <w:r>
        <w:rPr>
          <w:rFonts w:ascii="Calibri" w:hAnsi="Calibri" w:eastAsia="Calibri"/>
          <w:color w:val="1F2933"/>
          <w:sz w:val="22"/>
        </w:rPr>
        <w:t>Kırmızı/sarı/yeşil renk tek başına anlam taşımaz; metin, ikon ve gerekçe bulunur.</w:t>
      </w:r>
    </w:p>
    <w:p>
      <w:pPr>
        <w:numPr>
          <w:ilvl w:val="0"/>
          <w:numId w:val="10"/>
        </w:numPr>
        <w:spacing w:before="0" w:after="80" w:line="280" w:lineRule="auto"/>
        <w:ind w:left="720" w:hanging="360"/>
      </w:pPr>
      <w:r>
        <w:rPr>
          <w:rFonts w:ascii="Calibri" w:hAnsi="Calibri" w:eastAsia="Calibri"/>
          <w:color w:val="1F2933"/>
          <w:sz w:val="22"/>
        </w:rPr>
        <w:t>Kritik karar ekranında kural, kanıt, etki, alternatif ve geri alınabilirlik görünür.</w:t>
      </w:r>
    </w:p>
    <w:p>
      <w:pPr>
        <w:numPr>
          <w:ilvl w:val="0"/>
          <w:numId w:val="10"/>
        </w:numPr>
        <w:spacing w:before="0" w:after="80" w:line="280" w:lineRule="auto"/>
        <w:ind w:left="720" w:hanging="360"/>
      </w:pPr>
      <w:r>
        <w:rPr>
          <w:rFonts w:ascii="Calibri" w:hAnsi="Calibri" w:eastAsia="Calibri"/>
          <w:color w:val="1F2933"/>
          <w:sz w:val="22"/>
        </w:rPr>
        <w:t>Uzun formlar bölünür; taslak, toplu yükleme ve doğrulama özeti desteklenir.</w:t>
      </w:r>
    </w:p>
    <w:p>
      <w:pPr>
        <w:numPr>
          <w:ilvl w:val="0"/>
          <w:numId w:val="10"/>
        </w:numPr>
        <w:spacing w:before="0" w:after="80" w:line="280" w:lineRule="auto"/>
        <w:ind w:left="720" w:hanging="360"/>
      </w:pPr>
      <w:r>
        <w:rPr>
          <w:rFonts w:ascii="Calibri" w:hAnsi="Calibri" w:eastAsia="Calibri"/>
          <w:color w:val="1F2933"/>
          <w:sz w:val="22"/>
        </w:rPr>
        <w:t>Hata mesajı teknik kod yerine düzeltilebilir iş dilini ve sonraki adımı söyler.</w:t>
      </w:r>
    </w:p>
    <w:p>
      <w:pPr>
        <w:pStyle w:val="Heading1"/>
        <w:keepNext/>
        <w:keepLines/>
      </w:pPr>
      <w:r>
        <w:t>17. Raporlama, KPI ve Yönetim Panoları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300"/>
        <w:gridCol w:w="7060"/>
      </w:tblGrid>
      <w:tr>
        <w:trPr>
          <w:trHeight w:hRule="auto"/>
          <w:tblHeader w:val="true"/>
          <w:cantSplit/>
        </w:trPr>
        <w:tc>
          <w:tcPr>
            <w:tcW w:type="dxa" w:w="23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Panel</w:t>
            </w:r>
          </w:p>
        </w:tc>
        <w:tc>
          <w:tcPr>
            <w:tcW w:type="dxa" w:w="706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Göstergeler</w:t>
            </w:r>
          </w:p>
        </w:tc>
      </w:tr>
      <w:tr>
        <w:trPr>
          <w:trHeight w:hRule="auto"/>
          <w:cantSplit/>
        </w:trPr>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Grup yönetimi</w:t>
            </w:r>
          </w:p>
        </w:tc>
        <w:tc>
          <w:tcPr>
            <w:tcW w:type="dxa" w:w="7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Gelir/pipeline referansı, marka kapasitesi, çapraz hizmet, kârlılık, risk, kalite</w:t>
            </w:r>
          </w:p>
        </w:tc>
      </w:tr>
      <w:tr>
        <w:trPr>
          <w:trHeight w:hRule="auto"/>
          <w:cantSplit/>
        </w:trPr>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w:t>
            </w:r>
          </w:p>
        </w:tc>
        <w:tc>
          <w:tcPr>
            <w:tcW w:type="dxa" w:w="7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Açık hizmetler, veri/kanıt eksikleri, uygunsuzluk, karar, yaklaşan yükümlülük</w:t>
            </w:r>
          </w:p>
        </w:tc>
      </w:tr>
      <w:tr>
        <w:trPr>
          <w:trHeight w:hRule="auto"/>
          <w:cantSplit/>
        </w:trPr>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Operasyon</w:t>
            </w:r>
          </w:p>
        </w:tc>
        <w:tc>
          <w:tcPr>
            <w:tcW w:type="dxa" w:w="7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Görev/SLA, engel, iş yükü, tekrar iş, hata ve eskalasyon</w:t>
            </w:r>
          </w:p>
        </w:tc>
      </w:tr>
      <w:tr>
        <w:trPr>
          <w:trHeight w:hRule="auto"/>
          <w:cantSplit/>
        </w:trPr>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Uyum</w:t>
            </w:r>
          </w:p>
        </w:tc>
        <w:tc>
          <w:tcPr>
            <w:tcW w:type="dxa" w:w="7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Kapsam, veri kalitesi, kural sürümü, istisna, beyan/rapor durumu</w:t>
            </w:r>
          </w:p>
        </w:tc>
      </w:tr>
      <w:tr>
        <w:trPr>
          <w:trHeight w:hRule="auto"/>
          <w:cantSplit/>
        </w:trPr>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Eğitim</w:t>
            </w:r>
          </w:p>
        </w:tc>
        <w:tc>
          <w:tcPr>
            <w:tcW w:type="dxa" w:w="7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Yetkinlik açığı, geçerlilik, sınav, görevlendirme engeli</w:t>
            </w:r>
          </w:p>
        </w:tc>
      </w:tr>
      <w:tr>
        <w:trPr>
          <w:trHeight w:hRule="auto"/>
          <w:cantSplit/>
        </w:trPr>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Gözetim</w:t>
            </w:r>
          </w:p>
        </w:tc>
        <w:tc>
          <w:tcPr>
            <w:tcW w:type="dxa" w:w="7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Görevlendirme, 24 saat rapor hedefi, bulgu, kapanış</w:t>
            </w:r>
          </w:p>
        </w:tc>
      </w:tr>
      <w:tr>
        <w:trPr>
          <w:trHeight w:hRule="auto"/>
          <w:cantSplit/>
        </w:trPr>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Entegrasyon</w:t>
            </w:r>
          </w:p>
        </w:tc>
        <w:tc>
          <w:tcPr>
            <w:tcW w:type="dxa" w:w="7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Başarı, gecikme, queue age, DLQ, uzlaştırma farkı, iş etkisi</w:t>
            </w:r>
          </w:p>
        </w:tc>
      </w:tr>
      <w:tr>
        <w:trPr>
          <w:trHeight w:hRule="auto"/>
          <w:cantSplit/>
        </w:trPr>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AI</w:t>
            </w:r>
          </w:p>
        </w:tc>
        <w:tc>
          <w:tcPr>
            <w:tcW w:type="dxa" w:w="70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Kullanım, kabul/red, hata, kaynak gösterme, model sapması, kritik çıktı</w:t>
            </w:r>
          </w:p>
        </w:tc>
      </w:tr>
    </w:tbl>
    <w:p>
      <w:pPr>
        <w:spacing w:after="20"/>
      </w:pPr>
    </w:p>
    <w:p>
      <w:pPr>
        <w:pStyle w:val="Heading2"/>
        <w:keepNext/>
        <w:keepLines/>
      </w:pPr>
      <w:r>
        <w:t>17.1 Çekirdek KPI’lar</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3000"/>
        <w:gridCol w:w="6360"/>
      </w:tblGrid>
      <w:tr>
        <w:trPr>
          <w:trHeight w:hRule="auto"/>
          <w:tblHeader w:val="true"/>
          <w:cantSplit/>
        </w:trPr>
        <w:tc>
          <w:tcPr>
            <w:tcW w:type="dxa" w:w="30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KPI</w:t>
            </w:r>
          </w:p>
        </w:tc>
        <w:tc>
          <w:tcPr>
            <w:tcW w:type="dxa" w:w="63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Tanım</w:t>
            </w:r>
          </w:p>
        </w:tc>
      </w:tr>
      <w:tr>
        <w:trPr>
          <w:trHeight w:hRule="auto"/>
          <w:cantSplit/>
        </w:trPr>
        <w:tc>
          <w:tcPr>
            <w:tcW w:type="dxa" w:w="30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Talep→teşhis süresi</w:t>
            </w:r>
          </w:p>
        </w:tc>
        <w:tc>
          <w:tcPr>
            <w:tcW w:type="dxa" w:w="6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Talebin gerçek ihtiyaç/sonuç tasarımına dönüşme süresi</w:t>
            </w:r>
          </w:p>
        </w:tc>
      </w:tr>
      <w:tr>
        <w:trPr>
          <w:trHeight w:hRule="auto"/>
          <w:cantSplit/>
        </w:trPr>
        <w:tc>
          <w:tcPr>
            <w:tcW w:type="dxa" w:w="30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Teklif hazırlama süresi</w:t>
            </w:r>
          </w:p>
        </w:tc>
        <w:tc>
          <w:tcPr>
            <w:tcW w:type="dxa" w:w="6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Teşhis tamamlanmasından teklif gönderimine</w:t>
            </w:r>
          </w:p>
        </w:tc>
      </w:tr>
      <w:tr>
        <w:trPr>
          <w:trHeight w:hRule="auto"/>
          <w:cantSplit/>
        </w:trPr>
        <w:tc>
          <w:tcPr>
            <w:tcW w:type="dxa" w:w="30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Müşteri başına hizmet sayısı</w:t>
            </w:r>
          </w:p>
        </w:tc>
        <w:tc>
          <w:tcPr>
            <w:tcW w:type="dxa" w:w="6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Çapraz hizmet; gereksiz kapsam artışı olmadan</w:t>
            </w:r>
          </w:p>
        </w:tc>
      </w:tr>
      <w:tr>
        <w:trPr>
          <w:trHeight w:hRule="auto"/>
          <w:cantSplit/>
        </w:trPr>
        <w:tc>
          <w:tcPr>
            <w:tcW w:type="dxa" w:w="30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İlk seferde doğru veri</w:t>
            </w:r>
          </w:p>
        </w:tc>
        <w:tc>
          <w:tcPr>
            <w:tcW w:type="dxa" w:w="6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İlk gönderimde kabul edilen alan/kanıt oranı</w:t>
            </w:r>
          </w:p>
        </w:tc>
      </w:tr>
      <w:tr>
        <w:trPr>
          <w:trHeight w:hRule="auto"/>
          <w:cantSplit/>
        </w:trPr>
        <w:tc>
          <w:tcPr>
            <w:tcW w:type="dxa" w:w="30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Tekrar veri isteme oranı</w:t>
            </w:r>
          </w:p>
        </w:tc>
        <w:tc>
          <w:tcPr>
            <w:tcW w:type="dxa" w:w="6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Aynı veri için yinelenen talepler</w:t>
            </w:r>
          </w:p>
        </w:tc>
      </w:tr>
      <w:tr>
        <w:trPr>
          <w:trHeight w:hRule="auto"/>
          <w:cantSplit/>
        </w:trPr>
        <w:tc>
          <w:tcPr>
            <w:tcW w:type="dxa" w:w="30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İş emri SLA</w:t>
            </w:r>
          </w:p>
        </w:tc>
        <w:tc>
          <w:tcPr>
            <w:tcW w:type="dxa" w:w="6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Zamanında başlama ve tamamlama</w:t>
            </w:r>
          </w:p>
        </w:tc>
      </w:tr>
      <w:tr>
        <w:trPr>
          <w:trHeight w:hRule="auto"/>
          <w:cantSplit/>
        </w:trPr>
        <w:tc>
          <w:tcPr>
            <w:tcW w:type="dxa" w:w="30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Kanıt tamlığı</w:t>
            </w:r>
          </w:p>
        </w:tc>
        <w:tc>
          <w:tcPr>
            <w:tcW w:type="dxa" w:w="6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Karar/çıktı başına gerekli kanıt oranı</w:t>
            </w:r>
          </w:p>
        </w:tc>
      </w:tr>
      <w:tr>
        <w:trPr>
          <w:trHeight w:hRule="auto"/>
          <w:cantSplit/>
        </w:trPr>
        <w:tc>
          <w:tcPr>
            <w:tcW w:type="dxa" w:w="30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Uygunsuzluk tekrar oranı</w:t>
            </w:r>
          </w:p>
        </w:tc>
        <w:tc>
          <w:tcPr>
            <w:tcW w:type="dxa" w:w="6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Aynı kök nedenle yeniden oluşan bulgu</w:t>
            </w:r>
          </w:p>
        </w:tc>
      </w:tr>
      <w:tr>
        <w:trPr>
          <w:trHeight w:hRule="auto"/>
          <w:cantSplit/>
        </w:trPr>
        <w:tc>
          <w:tcPr>
            <w:tcW w:type="dxa" w:w="30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Fayda gerçekleşme</w:t>
            </w:r>
          </w:p>
        </w:tc>
        <w:tc>
          <w:tcPr>
            <w:tcW w:type="dxa" w:w="6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Hedeflenen sonucun gerçekleşen değeri</w:t>
            </w:r>
          </w:p>
        </w:tc>
      </w:tr>
      <w:tr>
        <w:trPr>
          <w:trHeight w:hRule="auto"/>
          <w:cantSplit/>
        </w:trPr>
        <w:tc>
          <w:tcPr>
            <w:tcW w:type="dxa" w:w="30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Entegrasyon kaynaklı yanlış karar</w:t>
            </w:r>
          </w:p>
        </w:tc>
        <w:tc>
          <w:tcPr>
            <w:tcW w:type="dxa" w:w="6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Hedef = 0 kritik</w:t>
            </w:r>
          </w:p>
        </w:tc>
      </w:tr>
      <w:tr>
        <w:trPr>
          <w:trHeight w:hRule="auto"/>
          <w:cantSplit/>
        </w:trPr>
        <w:tc>
          <w:tcPr>
            <w:tcW w:type="dxa" w:w="30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Ajan kritik hata</w:t>
            </w:r>
          </w:p>
        </w:tc>
        <w:tc>
          <w:tcPr>
            <w:tcW w:type="dxa" w:w="6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Hedef = 0; kaynak/gözetim ihlali dâhil</w:t>
            </w:r>
          </w:p>
        </w:tc>
      </w:tr>
      <w:tr>
        <w:trPr>
          <w:trHeight w:hRule="auto"/>
          <w:cantSplit/>
        </w:trPr>
        <w:tc>
          <w:tcPr>
            <w:tcW w:type="dxa" w:w="30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3E Model kullanım oranı</w:t>
            </w:r>
          </w:p>
        </w:tc>
        <w:tc>
          <w:tcPr>
            <w:tcW w:type="dxa" w:w="63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Projelerin standart teşhis/sonuç/kanıt akışını kullanması</w:t>
            </w:r>
          </w:p>
        </w:tc>
      </w:tr>
    </w:tbl>
    <w:p>
      <w:pPr>
        <w:spacing w:after="20"/>
      </w:pPr>
    </w:p>
    <w:p>
      <w:pPr>
        <w:pStyle w:val="Heading1"/>
        <w:keepNext/>
        <w:keepLines/>
      </w:pPr>
      <w:r>
        <w:t>18. Test Stratejisi ve Kalite Güvencesi</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200"/>
        <w:gridCol w:w="7160"/>
      </w:tblGrid>
      <w:tr>
        <w:trPr>
          <w:trHeight w:hRule="auto"/>
          <w:tblHeader w:val="true"/>
          <w:cantSplit/>
        </w:trPr>
        <w:tc>
          <w:tcPr>
            <w:tcW w:type="dxa" w:w="22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Test türü</w:t>
            </w:r>
          </w:p>
        </w:tc>
        <w:tc>
          <w:tcPr>
            <w:tcW w:type="dxa" w:w="716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Kapsam</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Birim</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Domain kuralları, puan, durum geçişi, mapping</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Sözleşme</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API/event schema ve geriye uyumluluk</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Entegrasyon</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Kaynak-hedef veri, retry, idempotency, hata kuyruğu</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Workflow</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Normal, eksik veri, gecikme, red, iptal, telafi</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Kural</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Pozitif, negatif, eşik, istisna, yürürlük ve sürüm</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Güvenlik</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Tenant izolasyonu, yetki, IDOR, dosya, token, secret</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Performans</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P95, toplu yükleme, rapor, kuyruk, dosya</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Dayanıklılık</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Bağımlılık kesintisi, timeout, tekrar mesaj, DR</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UAT</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 uzman, tedarikçi, saha ve yönetim senaryoları</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Regresyon</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Kural/modül/entegrasyon değişikliğinde kritik uçtan uca set</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AI doğrulama</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Kaynak, doğruluk, sınır, prompt injection, tenant veri sızıntısı</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Erişilebilirlik</w:t>
            </w:r>
          </w:p>
        </w:tc>
        <w:tc>
          <w:tcPr>
            <w:tcW w:type="dxa" w:w="7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Klavye, kontrast, ekran okuyucu, hata mesajı</w:t>
            </w:r>
          </w:p>
        </w:tc>
      </w:tr>
    </w:tbl>
    <w:p>
      <w:pPr>
        <w:spacing w:after="20"/>
      </w:pPr>
    </w:p>
    <w:p>
      <w:pPr>
        <w:pStyle w:val="Heading2"/>
        <w:keepNext/>
        <w:keepLines/>
      </w:pPr>
      <w:r>
        <w:t>18.1 Altın Uçtan Uca Senaryolar</w:t>
      </w:r>
    </w:p>
    <w:p>
      <w:pPr>
        <w:numPr>
          <w:ilvl w:val="0"/>
          <w:numId w:val="13"/>
        </w:numPr>
        <w:spacing w:after="80" w:line="280" w:lineRule="auto"/>
        <w:ind w:left="720" w:hanging="360"/>
      </w:pPr>
      <w:r>
        <w:rPr>
          <w:rFonts w:ascii="Calibri" w:hAnsi="Calibri" w:eastAsia="Calibri"/>
          <w:color w:val="1F2933"/>
          <w:sz w:val="22"/>
        </w:rPr>
        <w:t>Doğal kauçuk içeren ürün → EUDR kapsam → tedarikçi veri talebi → kanıt → DDS → müşteri durumu</w:t>
      </w:r>
    </w:p>
    <w:p>
      <w:pPr>
        <w:numPr>
          <w:ilvl w:val="0"/>
          <w:numId w:val="13"/>
        </w:numPr>
        <w:spacing w:after="80" w:line="280" w:lineRule="auto"/>
        <w:ind w:left="720" w:hanging="360"/>
      </w:pPr>
      <w:r>
        <w:rPr>
          <w:rFonts w:ascii="Calibri" w:hAnsi="Calibri" w:eastAsia="Calibri"/>
          <w:color w:val="1F2933"/>
          <w:sz w:val="22"/>
        </w:rPr>
        <w:t>AB menşeli olduğu doğrulanan CBAM ürünü → yeniden hesaplama yapılmaması; üçüncü ülke menşeli ve AB’den sevk edilen ürünün incelemeye alınması</w:t>
      </w:r>
    </w:p>
    <w:p>
      <w:pPr>
        <w:numPr>
          <w:ilvl w:val="0"/>
          <w:numId w:val="13"/>
        </w:numPr>
        <w:spacing w:after="80" w:line="280" w:lineRule="auto"/>
        <w:ind w:left="720" w:hanging="360"/>
      </w:pPr>
      <w:r>
        <w:rPr>
          <w:rFonts w:ascii="Calibri" w:hAnsi="Calibri" w:eastAsia="Calibri"/>
          <w:color w:val="1F2933"/>
          <w:sz w:val="22"/>
        </w:rPr>
        <w:t>Sürücü yetkinliği iptali → olay → Logfiks görevlendirme engeli → yeni eğitim görevi → yetkinlik sonrası açılma</w:t>
      </w:r>
    </w:p>
    <w:p>
      <w:pPr>
        <w:numPr>
          <w:ilvl w:val="0"/>
          <w:numId w:val="13"/>
        </w:numPr>
        <w:spacing w:after="80" w:line="280" w:lineRule="auto"/>
        <w:ind w:left="720" w:hanging="360"/>
      </w:pPr>
      <w:r>
        <w:rPr>
          <w:rFonts w:ascii="Calibri" w:hAnsi="Calibri" w:eastAsia="Calibri"/>
          <w:color w:val="1F2933"/>
          <w:sz w:val="22"/>
        </w:rPr>
        <w:t>Survey Turk bulgusu → düzeltici faaliyet → eğitim adayı → kapanış kanıtı → tekrar oranı</w:t>
      </w:r>
    </w:p>
    <w:p>
      <w:pPr>
        <w:numPr>
          <w:ilvl w:val="0"/>
          <w:numId w:val="13"/>
        </w:numPr>
        <w:spacing w:after="80" w:line="280" w:lineRule="auto"/>
        <w:ind w:left="720" w:hanging="360"/>
      </w:pPr>
      <w:r>
        <w:rPr>
          <w:rFonts w:ascii="Calibri" w:hAnsi="Calibri" w:eastAsia="Calibri"/>
          <w:color w:val="1F2933"/>
          <w:sz w:val="22"/>
        </w:rPr>
        <w:t>Kural sürümü yayımlandı → etkilenen açık kayıtların bulunması → yeniden değerlendirme → kullanıcı onayı</w:t>
      </w:r>
    </w:p>
    <w:p>
      <w:pPr>
        <w:numPr>
          <w:ilvl w:val="0"/>
          <w:numId w:val="13"/>
        </w:numPr>
        <w:spacing w:after="80" w:line="280" w:lineRule="auto"/>
        <w:ind w:left="720" w:hanging="360"/>
      </w:pPr>
      <w:r>
        <w:rPr>
          <w:rFonts w:ascii="Calibri" w:hAnsi="Calibri" w:eastAsia="Calibri"/>
          <w:color w:val="1F2933"/>
          <w:sz w:val="22"/>
        </w:rPr>
        <w:t>Entegrasyon aynı olayı iki kez gönderdi → tek iş emri; audit’te tekrarın görünmesi</w:t>
      </w:r>
    </w:p>
    <w:p>
      <w:pPr>
        <w:numPr>
          <w:ilvl w:val="0"/>
          <w:numId w:val="13"/>
        </w:numPr>
        <w:spacing w:after="80" w:line="280" w:lineRule="auto"/>
        <w:ind w:left="720" w:hanging="360"/>
      </w:pPr>
      <w:r>
        <w:rPr>
          <w:rFonts w:ascii="Calibri" w:hAnsi="Calibri" w:eastAsia="Calibri"/>
          <w:color w:val="1F2933"/>
          <w:sz w:val="22"/>
        </w:rPr>
        <w:t>Tenant A kullanıcısı Tenant B kimliğini URL’de denedi → veri sızıntısı olmadan 403 ve güvenlik kaydı</w:t>
      </w:r>
    </w:p>
    <w:p>
      <w:pPr>
        <w:pStyle w:val="Heading1"/>
        <w:keepNext/>
        <w:keepLines/>
      </w:pPr>
      <w:r>
        <w:t>19. MVP Kabul Kriterleri</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1200"/>
        <w:gridCol w:w="8160"/>
      </w:tblGrid>
      <w:tr>
        <w:trPr>
          <w:trHeight w:hRule="auto"/>
          <w:tblHeader w:val="true"/>
          <w:cantSplit/>
        </w:trPr>
        <w:tc>
          <w:tcPr>
            <w:tcW w:type="dxa" w:w="12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Kod</w:t>
            </w:r>
          </w:p>
        </w:tc>
        <w:tc>
          <w:tcPr>
            <w:tcW w:type="dxa" w:w="816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Kabul kriteri</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AC-01</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 talebi tek ekrandan açılabilmeli ve benzersiz kimlik almalı</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AC-02</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Talep, kırmızı risk ve minimum veri kontrolünden geçmeden çözüm tasarımına ilerlememeli</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AC-03</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Talep edilen hizmet ile teşhis edilen gerçek ihtiyaç ayrı alanlarda saklanmalı</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AC-04</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Sekiz aşamalı değerlendirme, kanıt güveni ve yönetim kararı kayıtlı olmalı</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AC-05</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Hizmet grafiği zorunlu bağımlılık, alternatif, doğrulama ve insan karar kapısını desteklemeli</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AC-06</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Onaylı kompozisyon modül iş emirlerine dağıtılmalı; her işin tek Accountable sahibi olmalı</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AC-07</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Aynı veri/kanıt geçerliyse ikinci modül yeniden istememeli</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AC-08</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Kural değişikliği sürümlü, testli ve iki aşamalı onaylı olmalı</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AC-09</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Her kritik karar hangi veri ve kural sürümüyle verildiğini göstermeli</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AC-10</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Outbox/inbox ile olay kaybı ve çift iş sonucu önlenmeli</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AC-11</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 yalnız kendi tenant verisini tek kontrol kulesinde görmeli</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AC-12</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Tedarikçi yalnız kendisine ait talepleri ve kayıtları görmeli</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AC-13</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Saha formu çevrimdışı çalışıp bağlantı sonrası güvenli eşitlenmeli</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AC-14</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Yüksek riskli AI çıktısı uzman onayı olmadan resmî çıktı olamamalı</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AC-15</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Audit; aktör, zaman, nesne, önce/sonra, karar gerekçesi ve korelasyon kimliği içermeli</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AC-16</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Kritik entegrasyon hatası kullanıcı ve iş sahibine görünür olmalı; sessizce kaybolmamalı</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AC-17</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Rol/tenant izolasyonu otomatik güvenlik testleriyle doğrulanmalı</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AC-18</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MVP altın senaryoları üretim benzeri ortamda geçmeli</w:t>
            </w:r>
          </w:p>
        </w:tc>
      </w:tr>
    </w:tbl>
    <w:p>
      <w:pPr>
        <w:spacing w:after="20"/>
      </w:pPr>
    </w:p>
    <w:p>
      <w:pPr>
        <w:pStyle w:val="Heading1"/>
        <w:keepNext/>
        <w:keepLines/>
      </w:pPr>
      <w:r>
        <w:t>20. Veri Geçişi ve Mevcut Sistemlerle Birlikte Çalışma</w:t>
      </w:r>
    </w:p>
    <w:p>
      <w:pPr>
        <w:pStyle w:val="Heading2"/>
        <w:keepNext/>
        <w:keepLines/>
      </w:pPr>
      <w:r>
        <w:t>20.1 Geçiş İlkesi</w:t>
      </w:r>
    </w:p>
    <w:p>
      <w:pPr/>
      <w:r>
        <w:rPr>
          <w:rFonts w:ascii="Calibri" w:hAnsi="Calibri" w:eastAsia="Calibri"/>
          <w:i w:val="0"/>
          <w:color w:val="1F2933"/>
          <w:sz w:val="22"/>
        </w:rPr>
        <w:t>Mevcut Excel, Word, PDF ve uygulama kayıtları tek seferde platforma taşınmamalıdır. Önce ortak kimlikler ve aktif iş için gerekli minimum veri taşınır; tarihsel kayıtlar kullanım ve saklama gereksinimine göre dalga dalga alınır.</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900"/>
        <w:gridCol w:w="2300"/>
        <w:gridCol w:w="6160"/>
      </w:tblGrid>
      <w:tr>
        <w:trPr>
          <w:trHeight w:hRule="auto"/>
          <w:tblHeader w:val="true"/>
          <w:cantSplit/>
        </w:trPr>
        <w:tc>
          <w:tcPr>
            <w:tcW w:type="dxa" w:w="9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Dalga</w:t>
            </w:r>
          </w:p>
        </w:tc>
        <w:tc>
          <w:tcPr>
            <w:tcW w:type="dxa" w:w="23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Adım</w:t>
            </w:r>
          </w:p>
        </w:tc>
        <w:tc>
          <w:tcPr>
            <w:tcW w:type="dxa" w:w="616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Çıktı</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1</w:t>
            </w:r>
          </w:p>
        </w:tc>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Envanter</w:t>
            </w:r>
          </w:p>
        </w:tc>
        <w:tc>
          <w:tcPr>
            <w:tcW w:type="dxa" w:w="6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Dosya, sistem, sahip, veri sınıfı, hacim ve kalite</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2</w:t>
            </w:r>
          </w:p>
        </w:tc>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Kaynak otoritesi</w:t>
            </w:r>
          </w:p>
        </w:tc>
        <w:tc>
          <w:tcPr>
            <w:tcW w:type="dxa" w:w="6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Her veri alanı için tek doğru kaynak</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3</w:t>
            </w:r>
          </w:p>
        </w:tc>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Kimlik eşleme</w:t>
            </w:r>
          </w:p>
        </w:tc>
        <w:tc>
          <w:tcPr>
            <w:tcW w:type="dxa" w:w="6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 ürün, tedarikçi, kişi, tesis, proje</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4</w:t>
            </w:r>
          </w:p>
        </w:tc>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Temizleme</w:t>
            </w:r>
          </w:p>
        </w:tc>
        <w:tc>
          <w:tcPr>
            <w:tcW w:type="dxa" w:w="6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Mükerrer, eski, eksik, çelişkili kayıt</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5</w:t>
            </w:r>
          </w:p>
        </w:tc>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Dönüşüm</w:t>
            </w:r>
          </w:p>
        </w:tc>
        <w:tc>
          <w:tcPr>
            <w:tcW w:type="dxa" w:w="6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Kod, birim, tarih, ülke, durum ve ilişki mapping</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6</w:t>
            </w:r>
          </w:p>
        </w:tc>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Pilot taşıma</w:t>
            </w:r>
          </w:p>
        </w:tc>
        <w:tc>
          <w:tcPr>
            <w:tcW w:type="dxa" w:w="6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Sınırlı tenant ve veri seti</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7</w:t>
            </w:r>
          </w:p>
        </w:tc>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Uzlaştırma</w:t>
            </w:r>
          </w:p>
        </w:tc>
        <w:tc>
          <w:tcPr>
            <w:tcW w:type="dxa" w:w="6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Kayıt sayısı, toplam, hash ve örnek doğrulama</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8</w:t>
            </w:r>
          </w:p>
        </w:tc>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Kesim</w:t>
            </w:r>
          </w:p>
        </w:tc>
        <w:tc>
          <w:tcPr>
            <w:tcW w:type="dxa" w:w="6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Yeni kayıt noktası, eski sistem read-only</w:t>
            </w:r>
          </w:p>
        </w:tc>
      </w:tr>
      <w:tr>
        <w:trPr>
          <w:trHeight w:hRule="auto"/>
          <w:cantSplit/>
        </w:trPr>
        <w:tc>
          <w:tcPr>
            <w:tcW w:type="dxa" w:w="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9</w:t>
            </w:r>
          </w:p>
        </w:tc>
        <w:tc>
          <w:tcPr>
            <w:tcW w:type="dxa" w:w="23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Arşiv</w:t>
            </w:r>
          </w:p>
        </w:tc>
        <w:tc>
          <w:tcPr>
            <w:tcW w:type="dxa" w:w="6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Saklama, erişim ve imha politikası</w:t>
            </w:r>
          </w:p>
        </w:tc>
      </w:tr>
    </w:tbl>
    <w:p>
      <w:pPr>
        <w:spacing w:after="20"/>
      </w:pPr>
    </w:p>
    <w:p>
      <w:pPr>
        <w:pStyle w:val="Heading2"/>
        <w:keepNext/>
        <w:keepLines/>
      </w:pPr>
      <w:r>
        <w:t>20.2 Excel İçe Aktarım Standardı</w:t>
      </w:r>
    </w:p>
    <w:p>
      <w:pPr>
        <w:numPr>
          <w:ilvl w:val="0"/>
          <w:numId w:val="10"/>
        </w:numPr>
        <w:spacing w:before="0" w:after="80" w:line="280" w:lineRule="auto"/>
        <w:ind w:left="720" w:hanging="360"/>
      </w:pPr>
      <w:r>
        <w:rPr>
          <w:rFonts w:ascii="Calibri" w:hAnsi="Calibri" w:eastAsia="Calibri"/>
          <w:color w:val="1F2933"/>
          <w:sz w:val="22"/>
        </w:rPr>
        <w:t>Şablon sürümü ve veri sözlüğü dosyanın içinde bulunur.</w:t>
      </w:r>
    </w:p>
    <w:p>
      <w:pPr>
        <w:numPr>
          <w:ilvl w:val="0"/>
          <w:numId w:val="10"/>
        </w:numPr>
        <w:spacing w:before="0" w:after="80" w:line="280" w:lineRule="auto"/>
        <w:ind w:left="720" w:hanging="360"/>
      </w:pPr>
      <w:r>
        <w:rPr>
          <w:rFonts w:ascii="Calibri" w:hAnsi="Calibri" w:eastAsia="Calibri"/>
          <w:color w:val="1F2933"/>
          <w:sz w:val="22"/>
        </w:rPr>
        <w:t>Ön doğrulama, satır bazlı hata kodu ve düzeltme dosyası üretilir.</w:t>
      </w:r>
    </w:p>
    <w:p>
      <w:pPr>
        <w:numPr>
          <w:ilvl w:val="0"/>
          <w:numId w:val="10"/>
        </w:numPr>
        <w:spacing w:before="0" w:after="80" w:line="280" w:lineRule="auto"/>
        <w:ind w:left="720" w:hanging="360"/>
      </w:pPr>
      <w:r>
        <w:rPr>
          <w:rFonts w:ascii="Calibri" w:hAnsi="Calibri" w:eastAsia="Calibri"/>
          <w:color w:val="1F2933"/>
          <w:sz w:val="22"/>
        </w:rPr>
        <w:t>Hatalı satırlar nedeniyle geçerli satırlar kaybolmaz; kısmi kabul politikası hizmet bazında tanımlanır.</w:t>
      </w:r>
    </w:p>
    <w:p>
      <w:pPr>
        <w:numPr>
          <w:ilvl w:val="0"/>
          <w:numId w:val="10"/>
        </w:numPr>
        <w:spacing w:before="0" w:after="80" w:line="280" w:lineRule="auto"/>
        <w:ind w:left="720" w:hanging="360"/>
      </w:pPr>
      <w:r>
        <w:rPr>
          <w:rFonts w:ascii="Calibri" w:hAnsi="Calibri" w:eastAsia="Calibri"/>
          <w:color w:val="1F2933"/>
          <w:sz w:val="22"/>
        </w:rPr>
        <w:t>Yükleme idempotency_key ile tekrar işlenebilir; mükerrer kayıt yaratmaz.</w:t>
      </w:r>
    </w:p>
    <w:p>
      <w:pPr>
        <w:numPr>
          <w:ilvl w:val="0"/>
          <w:numId w:val="10"/>
        </w:numPr>
        <w:spacing w:before="0" w:after="80" w:line="280" w:lineRule="auto"/>
        <w:ind w:left="720" w:hanging="360"/>
      </w:pPr>
      <w:r>
        <w:rPr>
          <w:rFonts w:ascii="Calibri" w:hAnsi="Calibri" w:eastAsia="Calibri"/>
          <w:color w:val="1F2933"/>
          <w:sz w:val="22"/>
        </w:rPr>
        <w:t>Hangi kullanıcı, dosya, şablon ve kural sürümüyle işlem yapıldığı audit’e yazılır.</w:t>
      </w:r>
    </w:p>
    <w:p>
      <w:pPr>
        <w:pStyle w:val="Heading1"/>
        <w:keepNext/>
        <w:keepLines/>
      </w:pPr>
      <w:r>
        <w:t>21. Geliştirme Yol Haritası</w:t>
      </w:r>
    </w:p>
    <w:p>
      <w:pPr>
        <w:pStyle w:val="Heading2"/>
        <w:keepNext/>
        <w:keepLines/>
      </w:pPr>
      <w:r>
        <w:t>21.1 24 Haftalık İlk Ürün Programı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1000"/>
        <w:gridCol w:w="1700"/>
        <w:gridCol w:w="4700"/>
        <w:gridCol w:w="1960"/>
      </w:tblGrid>
      <w:tr>
        <w:trPr>
          <w:trHeight w:hRule="auto"/>
          <w:tblHeader w:val="true"/>
          <w:cantSplit/>
        </w:trPr>
        <w:tc>
          <w:tcPr>
            <w:tcW w:type="dxa" w:w="10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Hafta</w:t>
            </w:r>
          </w:p>
        </w:tc>
        <w:tc>
          <w:tcPr>
            <w:tcW w:type="dxa" w:w="17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Tema</w:t>
            </w:r>
          </w:p>
        </w:tc>
        <w:tc>
          <w:tcPr>
            <w:tcW w:type="dxa" w:w="47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Kapsam</w:t>
            </w:r>
          </w:p>
        </w:tc>
        <w:tc>
          <w:tcPr>
            <w:tcW w:type="dxa" w:w="196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Çıktı</w:t>
            </w:r>
          </w:p>
        </w:tc>
      </w:tr>
      <w:tr>
        <w:trPr>
          <w:trHeight w:hRule="auto"/>
          <w:cantSplit/>
        </w:trPr>
        <w:tc>
          <w:tcPr>
            <w:tcW w:type="dxa" w:w="1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1–2</w:t>
            </w:r>
          </w:p>
        </w:tc>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Keşif ve karar</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Hizmet kataloğu, ortak kimlikler, tenant modeli, mimari kurul, pilot müşteri</w:t>
            </w:r>
          </w:p>
        </w:tc>
        <w:tc>
          <w:tcPr>
            <w:tcW w:type="dxa" w:w="1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Onaylı PRD ve veri sözlüğü v0</w:t>
            </w:r>
          </w:p>
        </w:tc>
      </w:tr>
      <w:tr>
        <w:trPr>
          <w:trHeight w:hRule="auto"/>
          <w:cantSplit/>
        </w:trPr>
        <w:tc>
          <w:tcPr>
            <w:tcW w:type="dxa" w:w="1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3–4</w:t>
            </w:r>
          </w:p>
        </w:tc>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Temel platform</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Repo/CI, IAM, tenant, organization, audit, dosya/kanıt iskeleti</w:t>
            </w:r>
          </w:p>
        </w:tc>
        <w:tc>
          <w:tcPr>
            <w:tcW w:type="dxa" w:w="1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Güvenli platform shell</w:t>
            </w:r>
          </w:p>
        </w:tc>
      </w:tr>
      <w:tr>
        <w:trPr>
          <w:trHeight w:hRule="auto"/>
          <w:cantSplit/>
        </w:trPr>
        <w:tc>
          <w:tcPr>
            <w:tcW w:type="dxa" w:w="1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5–6</w:t>
            </w:r>
          </w:p>
        </w:tc>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Talep ve CRM</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Müşteri, talep, triage, risk kapısı, bildirim</w:t>
            </w:r>
          </w:p>
        </w:tc>
        <w:tc>
          <w:tcPr>
            <w:tcW w:type="dxa" w:w="1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Tek kapı MVP</w:t>
            </w:r>
          </w:p>
        </w:tc>
      </w:tr>
      <w:tr>
        <w:trPr>
          <w:trHeight w:hRule="auto"/>
          <w:cantSplit/>
        </w:trPr>
        <w:tc>
          <w:tcPr>
            <w:tcW w:type="dxa" w:w="1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7–8</w:t>
            </w:r>
          </w:p>
        </w:tc>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3E teşhis</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Soru seti, kanıt, skor, problem/sonuç, yol haritası</w:t>
            </w:r>
          </w:p>
        </w:tc>
        <w:tc>
          <w:tcPr>
            <w:tcW w:type="dxa" w:w="1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Teşhis pilotu</w:t>
            </w:r>
          </w:p>
        </w:tc>
      </w:tr>
      <w:tr>
        <w:trPr>
          <w:trHeight w:hRule="auto"/>
          <w:cantSplit/>
        </w:trPr>
        <w:tc>
          <w:tcPr>
            <w:tcW w:type="dxa" w:w="1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9–10</w:t>
            </w:r>
          </w:p>
        </w:tc>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Hizmet kataloğu/grafiği</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Modül sözleşmesi, bağımlılık, routing, kapasite</w:t>
            </w:r>
          </w:p>
        </w:tc>
        <w:tc>
          <w:tcPr>
            <w:tcW w:type="dxa" w:w="1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Kompozisyon motoru</w:t>
            </w:r>
          </w:p>
        </w:tc>
      </w:tr>
      <w:tr>
        <w:trPr>
          <w:trHeight w:hRule="auto"/>
          <w:cantSplit/>
        </w:trPr>
        <w:tc>
          <w:tcPr>
            <w:tcW w:type="dxa" w:w="1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11–12</w:t>
            </w:r>
          </w:p>
        </w:tc>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Teklif ve proje</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Kompozit teklif, iç onay, proje, iş emri, RACI, SLA</w:t>
            </w:r>
          </w:p>
        </w:tc>
        <w:tc>
          <w:tcPr>
            <w:tcW w:type="dxa" w:w="1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Dağıtım çekirdeği</w:t>
            </w:r>
          </w:p>
        </w:tc>
      </w:tr>
      <w:tr>
        <w:trPr>
          <w:trHeight w:hRule="auto"/>
          <w:cantSplit/>
        </w:trPr>
        <w:tc>
          <w:tcPr>
            <w:tcW w:type="dxa" w:w="1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13–14</w:t>
            </w:r>
          </w:p>
        </w:tc>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Kural kataloğu</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Sürüm, karar tablosu, test, yayın, etki analizi</w:t>
            </w:r>
          </w:p>
        </w:tc>
        <w:tc>
          <w:tcPr>
            <w:tcW w:type="dxa" w:w="1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Rule engine v1</w:t>
            </w:r>
          </w:p>
        </w:tc>
      </w:tr>
      <w:tr>
        <w:trPr>
          <w:trHeight w:hRule="auto"/>
          <w:cantSplit/>
        </w:trPr>
        <w:tc>
          <w:tcPr>
            <w:tcW w:type="dxa" w:w="1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15–16</w:t>
            </w:r>
          </w:p>
        </w:tc>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Sürdürülebilirlik pilotu</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CBAM/EUDR/PPWR ortak ürün-tedarikçi omurgası</w:t>
            </w:r>
          </w:p>
        </w:tc>
        <w:tc>
          <w:tcPr>
            <w:tcW w:type="dxa" w:w="1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Pilot 1</w:t>
            </w:r>
          </w:p>
        </w:tc>
      </w:tr>
      <w:tr>
        <w:trPr>
          <w:trHeight w:hRule="auto"/>
          <w:cantSplit/>
        </w:trPr>
        <w:tc>
          <w:tcPr>
            <w:tcW w:type="dxa" w:w="1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17–18</w:t>
            </w:r>
          </w:p>
        </w:tc>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Operasyon pilotu</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ST TMGD/DG + Logfiks belge/yetkinlik/görev olayları</w:t>
            </w:r>
          </w:p>
        </w:tc>
        <w:tc>
          <w:tcPr>
            <w:tcW w:type="dxa" w:w="1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Pilot 2</w:t>
            </w:r>
          </w:p>
        </w:tc>
      </w:tr>
      <w:tr>
        <w:trPr>
          <w:trHeight w:hRule="auto"/>
          <w:cantSplit/>
        </w:trPr>
        <w:tc>
          <w:tcPr>
            <w:tcW w:type="dxa" w:w="1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19–20</w:t>
            </w:r>
          </w:p>
        </w:tc>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Portal ve saha</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Müşteri/tedarikçi portalı, Survey PWA temel akışı</w:t>
            </w:r>
          </w:p>
        </w:tc>
        <w:tc>
          <w:tcPr>
            <w:tcW w:type="dxa" w:w="1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Pilot 3</w:t>
            </w:r>
          </w:p>
        </w:tc>
      </w:tr>
      <w:tr>
        <w:trPr>
          <w:trHeight w:hRule="auto"/>
          <w:cantSplit/>
        </w:trPr>
        <w:tc>
          <w:tcPr>
            <w:tcW w:type="dxa" w:w="1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21–22</w:t>
            </w:r>
          </w:p>
        </w:tc>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Panolar ve entegrasyon</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Control tower, outbox/inbox, DLQ, uzlaştırma, observability</w:t>
            </w:r>
          </w:p>
        </w:tc>
        <w:tc>
          <w:tcPr>
            <w:tcW w:type="dxa" w:w="1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Üretim hazırlığı</w:t>
            </w:r>
          </w:p>
        </w:tc>
      </w:tr>
      <w:tr>
        <w:trPr>
          <w:trHeight w:hRule="auto"/>
          <w:cantSplit/>
        </w:trPr>
        <w:tc>
          <w:tcPr>
            <w:tcW w:type="dxa" w:w="1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23–24</w:t>
            </w:r>
          </w:p>
        </w:tc>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UAT ve canlı</w:t>
            </w:r>
          </w:p>
        </w:tc>
        <w:tc>
          <w:tcPr>
            <w:tcW w:type="dxa" w:w="4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Güvenlik, yük, DR, eğitim, cutover, hiper bakım</w:t>
            </w:r>
          </w:p>
        </w:tc>
        <w:tc>
          <w:tcPr>
            <w:tcW w:type="dxa" w:w="19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MVP canlı</w:t>
            </w:r>
          </w:p>
        </w:tc>
      </w:tr>
    </w:tbl>
    <w:p>
      <w:pPr>
        <w:spacing w:after="20"/>
      </w:pPr>
    </w:p>
    <w:p>
      <w:pPr>
        <w:pStyle w:val="Heading2"/>
        <w:keepNext/>
        <w:keepLines/>
      </w:pPr>
      <w:r>
        <w:t>21.2 2026–2028 Stratejik Eşleşme</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1700"/>
        <w:gridCol w:w="3900"/>
        <w:gridCol w:w="3760"/>
      </w:tblGrid>
      <w:tr>
        <w:trPr>
          <w:trHeight w:hRule="auto"/>
          <w:tblHeader w:val="true"/>
          <w:cantSplit/>
        </w:trPr>
        <w:tc>
          <w:tcPr>
            <w:tcW w:type="dxa" w:w="17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Dönem</w:t>
            </w:r>
          </w:p>
        </w:tc>
        <w:tc>
          <w:tcPr>
            <w:tcW w:type="dxa" w:w="39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Kurumsal hedef</w:t>
            </w:r>
          </w:p>
        </w:tc>
        <w:tc>
          <w:tcPr>
            <w:tcW w:type="dxa" w:w="376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Yazılım karşılığı</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Tem–Eyl 2026</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Model sözlüğü, süreç haritası, ilk ajan ve pilotlar</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Domain sözlüğü, hizmet kodu, pilot backlog</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Eki–Ara 2026</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Logfiks/IF DIGIT entegrasyon kapsamı</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API/event sözleşmesi ve MVP kararı</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Oca–Mar 2027</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Müşteri portalı ve ajan çıktı kaydı MVP</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İlk dijital müşteri deneyimi</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Nis–Haz 2027</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Eğitim–danışmanlık–gözetim–mühendislik veri döngüsü</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En az üç çalışan entegrasyon</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2027 H2</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Bölgesel açılım ve kurumsallaşma</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Çok dil, ülke/ortak, yetki devri</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2028 H1</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Lisanslama ve uluslararası ölçek</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Yetkili uygulayıcı, içerik/abonelik</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Tem–Eyl 2028</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Ortak müşteri, veri ve karar platformu; on ajan</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Platformlaşma</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Eki–Ara 2028</w:t>
            </w:r>
          </w:p>
        </w:tc>
        <w:tc>
          <w:tcPr>
            <w:tcW w:type="dxa" w:w="3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Konsolidasyon ve 2030 eşiği</w:t>
            </w:r>
          </w:p>
        </w:tc>
        <w:tc>
          <w:tcPr>
            <w:tcW w:type="dxa" w:w="3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Portföy ve yatırım kararı</w:t>
            </w:r>
          </w:p>
        </w:tc>
      </w:tr>
    </w:tbl>
    <w:p>
      <w:pPr>
        <w:spacing w:after="20"/>
      </w:pPr>
    </w:p>
    <w:p>
      <w:pPr>
        <w:pStyle w:val="Heading2"/>
        <w:keepNext/>
        <w:keepLines/>
      </w:pPr>
      <w:r>
        <w:t>21.3 Go/No-Go Kapıları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1200"/>
        <w:gridCol w:w="8160"/>
      </w:tblGrid>
      <w:tr>
        <w:trPr>
          <w:trHeight w:hRule="auto"/>
          <w:tblHeader w:val="true"/>
          <w:cantSplit/>
        </w:trPr>
        <w:tc>
          <w:tcPr>
            <w:tcW w:type="dxa" w:w="120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Kapı</w:t>
            </w:r>
          </w:p>
        </w:tc>
        <w:tc>
          <w:tcPr>
            <w:tcW w:type="dxa" w:w="8160"/>
            <w:shd w:fill="F2F4F7"/>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Karar sorusu</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G0</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Hizmet sözlüğü, sahiplik ve pilot tenant onaylı mı?</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G1</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Tenant izolasyonu, audit ve kimlik güvenliği geçti mi?</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G2</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Teşhis kullanıcıları gerçek ihtiyacı ayırabiliyor mu?</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G3</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Hizmet grafiği manuel iş/tekrar veri talebini azaltıyor mu?</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G4</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Kural motoru uzmanlarca sürdürülebilir ve test edilebilir mi?</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G5</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İki pilotta ölçülebilir fayda ve kabul var mı?</w:t>
            </w:r>
          </w:p>
        </w:tc>
      </w:tr>
      <w:tr>
        <w:trPr>
          <w:trHeight w:hRule="auto"/>
          <w:cantSplit/>
        </w:trPr>
        <w:tc>
          <w:tcPr>
            <w:tcW w:type="dxa" w:w="12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G6</w:t>
            </w:r>
          </w:p>
        </w:tc>
        <w:tc>
          <w:tcPr>
            <w:tcW w:type="dxa" w:w="81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Kritik hata = 0; DR, güvenlik ve UAT geçti mi?</w:t>
            </w:r>
          </w:p>
        </w:tc>
      </w:tr>
    </w:tbl>
    <w:p>
      <w:pPr>
        <w:spacing w:after="20"/>
      </w:pPr>
    </w:p>
    <w:p>
      <w:pPr>
        <w:pStyle w:val="Heading1"/>
        <w:keepNext/>
        <w:keepLines/>
      </w:pPr>
      <w:r>
        <w:t>22. Ekip Yapısı ve RACI</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200"/>
        <w:gridCol w:w="2400"/>
        <w:gridCol w:w="4760"/>
      </w:tblGrid>
      <w:tr>
        <w:trPr>
          <w:trHeight w:hRule="auto"/>
          <w:tblHeader w:val="true"/>
          <w:cantSplit/>
        </w:trPr>
        <w:tc>
          <w:tcPr>
            <w:tcW w:type="dxa" w:w="22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Rol</w:t>
            </w:r>
          </w:p>
        </w:tc>
        <w:tc>
          <w:tcPr>
            <w:tcW w:type="dxa" w:w="24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Önerilen yapı</w:t>
            </w:r>
          </w:p>
        </w:tc>
        <w:tc>
          <w:tcPr>
            <w:tcW w:type="dxa" w:w="476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Hesap verdiği sonuç</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Ürün sahibi</w:t>
            </w:r>
          </w:p>
        </w:tc>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3E Group</w:t>
            </w:r>
          </w:p>
        </w:tc>
        <w:tc>
          <w:tcPr>
            <w:tcW w:type="dxa" w:w="4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Vizyon, öncelik, bütçe ve kabul</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3E metodoloji sahibi</w:t>
            </w:r>
          </w:p>
        </w:tc>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3E Dönüşüm Ofisi</w:t>
            </w:r>
          </w:p>
        </w:tc>
        <w:tc>
          <w:tcPr>
            <w:tcW w:type="dxa" w:w="4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Teşhis, sonuç, araç ve kalite standardı</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Çözüm mimarı</w:t>
            </w:r>
          </w:p>
        </w:tc>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İş + teknoloji</w:t>
            </w:r>
          </w:p>
        </w:tc>
        <w:tc>
          <w:tcPr>
            <w:tcW w:type="dxa" w:w="4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Alan sınırı, modül kompozisyonu ve NFR</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Teknik lider</w:t>
            </w:r>
          </w:p>
        </w:tc>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Yazılım ekibi</w:t>
            </w:r>
          </w:p>
        </w:tc>
        <w:tc>
          <w:tcPr>
            <w:tcW w:type="dxa" w:w="4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Kod mimarisi, güvenlik, performans ve teslim</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Domain liderleri</w:t>
            </w:r>
          </w:p>
        </w:tc>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ST TMGD, Academy, Survey, Carbonless vb.</w:t>
            </w:r>
          </w:p>
        </w:tc>
        <w:tc>
          <w:tcPr>
            <w:tcW w:type="dxa" w:w="4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Kural, veri, süreç ve UAT</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Veri mimarı</w:t>
            </w:r>
          </w:p>
        </w:tc>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Teknoloji/IF DIGIT</w:t>
            </w:r>
          </w:p>
        </w:tc>
        <w:tc>
          <w:tcPr>
            <w:tcW w:type="dxa" w:w="4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Ortak kimlik, sözlük, kalite ve analitik</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Entegrasyon lideri</w:t>
            </w:r>
          </w:p>
        </w:tc>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Teknoloji</w:t>
            </w:r>
          </w:p>
        </w:tc>
        <w:tc>
          <w:tcPr>
            <w:tcW w:type="dxa" w:w="4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API/event, connector, gözlemlenebilirlik</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UX lideri</w:t>
            </w:r>
          </w:p>
        </w:tc>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Ürün ekibi</w:t>
            </w:r>
          </w:p>
        </w:tc>
        <w:tc>
          <w:tcPr>
            <w:tcW w:type="dxa" w:w="4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Rol bazlı deneyim, portal ve saha</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QA/Test</w:t>
            </w:r>
          </w:p>
        </w:tc>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Bağımsız kalite</w:t>
            </w:r>
          </w:p>
        </w:tc>
        <w:tc>
          <w:tcPr>
            <w:tcW w:type="dxa" w:w="4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Test otomasyonu, UAT ve kabul kanıtı</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DevOps/SecOps</w:t>
            </w:r>
          </w:p>
        </w:tc>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Teknoloji</w:t>
            </w:r>
          </w:p>
        </w:tc>
        <w:tc>
          <w:tcPr>
            <w:tcW w:type="dxa" w:w="4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CI/CD, ortam, güvenlik ve dayanıklılık</w:t>
            </w:r>
          </w:p>
        </w:tc>
      </w:tr>
      <w:tr>
        <w:trPr>
          <w:trHeight w:hRule="auto"/>
          <w:cantSplit/>
        </w:trPr>
        <w:tc>
          <w:tcPr>
            <w:tcW w:type="dxa" w:w="22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Program yöneticisi</w:t>
            </w:r>
          </w:p>
        </w:tc>
        <w:tc>
          <w:tcPr>
            <w:tcW w:type="dxa" w:w="24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3E PMO</w:t>
            </w:r>
          </w:p>
        </w:tc>
        <w:tc>
          <w:tcPr>
            <w:tcW w:type="dxa" w:w="47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7"/>
              </w:rPr>
              <w:t>Zaman, bağımlılık, risk ve karar</w:t>
            </w:r>
          </w:p>
        </w:tc>
      </w:tr>
    </w:tbl>
    <w:p>
      <w:pPr>
        <w:spacing w:after="20"/>
      </w:pPr>
    </w:p>
    <w:p>
      <w:pPr>
        <w:pStyle w:val="Heading2"/>
        <w:keepNext/>
        <w:keepLines/>
      </w:pPr>
      <w:r>
        <w:t>22.1 Çekirdek RACI</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2000"/>
        <w:gridCol w:w="1900"/>
        <w:gridCol w:w="1900"/>
        <w:gridCol w:w="2100"/>
        <w:gridCol w:w="1460"/>
      </w:tblGrid>
      <w:tr>
        <w:trPr>
          <w:trHeight w:hRule="auto"/>
          <w:tblHeader w:val="true"/>
          <w:cantSplit/>
        </w:trPr>
        <w:tc>
          <w:tcPr>
            <w:tcW w:type="dxa" w:w="20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Konu</w:t>
            </w:r>
          </w:p>
        </w:tc>
        <w:tc>
          <w:tcPr>
            <w:tcW w:type="dxa" w:w="19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R</w:t>
            </w:r>
          </w:p>
        </w:tc>
        <w:tc>
          <w:tcPr>
            <w:tcW w:type="dxa" w:w="19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A</w:t>
            </w:r>
          </w:p>
        </w:tc>
        <w:tc>
          <w:tcPr>
            <w:tcW w:type="dxa" w:w="21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C</w:t>
            </w:r>
          </w:p>
        </w:tc>
        <w:tc>
          <w:tcPr>
            <w:tcW w:type="dxa" w:w="146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I</w:t>
            </w:r>
          </w:p>
        </w:tc>
      </w:tr>
      <w:tr>
        <w:trPr>
          <w:trHeight w:hRule="auto"/>
          <w:cantSplit/>
        </w:trPr>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Hizmet kataloğu</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Metodoloji sahibi</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Ürün sahibi</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Domain liderleri</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Yazılım</w:t>
            </w:r>
          </w:p>
        </w:tc>
      </w:tr>
      <w:tr>
        <w:trPr>
          <w:trHeight w:hRule="auto"/>
          <w:cantSplit/>
        </w:trPr>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Ortak veri modeli</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Veri mimarı</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Çözüm mimarı</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Domain/entegrasyon</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Ürün sahibi</w:t>
            </w:r>
          </w:p>
        </w:tc>
      </w:tr>
      <w:tr>
        <w:trPr>
          <w:trHeight w:hRule="auto"/>
          <w:cantSplit/>
        </w:trPr>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Kural içeriği</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Domain lideri</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Metodoloji/uyum onayı</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Yazılım/kalite</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Ürün sahibi</w:t>
            </w:r>
          </w:p>
        </w:tc>
      </w:tr>
      <w:tr>
        <w:trPr>
          <w:trHeight w:hRule="auto"/>
          <w:cantSplit/>
        </w:trPr>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Kural motoru</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Teknik lider</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Çözüm mimarı</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Domain/QA</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Ürün sahibi</w:t>
            </w:r>
          </w:p>
        </w:tc>
      </w:tr>
      <w:tr>
        <w:trPr>
          <w:trHeight w:hRule="auto"/>
          <w:cantSplit/>
        </w:trPr>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Tenant/güvenlik</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Teknik lider/SecOps</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Çözüm mimarı</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QA/Legal</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Ürün sahibi</w:t>
            </w:r>
          </w:p>
        </w:tc>
      </w:tr>
      <w:tr>
        <w:trPr>
          <w:trHeight w:hRule="auto"/>
          <w:cantSplit/>
        </w:trPr>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Modül entegrasyonu</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Entegrasyon lideri</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Çözüm mimarı</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Kaynak/hedef sahipleri</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PMO</w:t>
            </w:r>
          </w:p>
        </w:tc>
      </w:tr>
      <w:tr>
        <w:trPr>
          <w:trHeight w:hRule="auto"/>
          <w:cantSplit/>
        </w:trPr>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UAT</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QA + domain</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Ürün sahibi</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Pilot müşteri</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Yönetim</w:t>
            </w:r>
          </w:p>
        </w:tc>
      </w:tr>
      <w:tr>
        <w:trPr>
          <w:trHeight w:hRule="auto"/>
          <w:cantSplit/>
        </w:trPr>
        <w:tc>
          <w:tcPr>
            <w:tcW w:type="dxa" w:w="20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Canlıya geçiş</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DevOps/PMO</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Ürün sahibi</w:t>
            </w:r>
          </w:p>
        </w:tc>
        <w:tc>
          <w:tcPr>
            <w:tcW w:type="dxa" w:w="2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Teknik/domain/QA</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Kullanıcılar</w:t>
            </w:r>
          </w:p>
        </w:tc>
      </w:tr>
    </w:tbl>
    <w:p>
      <w:pPr>
        <w:spacing w:after="20"/>
      </w:pPr>
    </w:p>
    <w:p>
      <w:pPr>
        <w:pStyle w:val="Heading1"/>
        <w:keepNext/>
        <w:keepLines/>
      </w:pPr>
      <w:r>
        <w:t>23. Riskler, Kontroller ve Açık Yönetim Kararları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800"/>
        <w:gridCol w:w="3600"/>
        <w:gridCol w:w="1100"/>
        <w:gridCol w:w="3860"/>
      </w:tblGrid>
      <w:tr>
        <w:trPr>
          <w:trHeight w:hRule="auto"/>
          <w:tblHeader w:val="true"/>
          <w:cantSplit/>
        </w:trPr>
        <w:tc>
          <w:tcPr>
            <w:tcW w:type="dxa" w:w="8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Kod</w:t>
            </w:r>
          </w:p>
        </w:tc>
        <w:tc>
          <w:tcPr>
            <w:tcW w:type="dxa" w:w="36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Risk</w:t>
            </w:r>
          </w:p>
        </w:tc>
        <w:tc>
          <w:tcPr>
            <w:tcW w:type="dxa" w:w="110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Seviye</w:t>
            </w:r>
          </w:p>
        </w:tc>
        <w:tc>
          <w:tcPr>
            <w:tcW w:type="dxa" w:w="3860"/>
            <w:shd w:fill="F8F1DF"/>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Kontrol</w:t>
            </w:r>
          </w:p>
        </w:tc>
      </w:tr>
      <w:tr>
        <w:trPr>
          <w:trHeight w:hRule="auto"/>
          <w:cantSplit/>
        </w:trPr>
        <w:tc>
          <w:tcPr>
            <w:tcW w:type="dxa" w:w="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R1</w:t>
            </w:r>
          </w:p>
        </w:tc>
        <w:tc>
          <w:tcPr>
            <w:tcW w:type="dxa" w:w="3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Platformun bütün eski sistemleri yeniden yazmaya dönüşmesi</w:t>
            </w:r>
          </w:p>
        </w:tc>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Yüksek</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Modül sözleşmesi; MVP sınırı; build/buy kapısı</w:t>
            </w:r>
          </w:p>
        </w:tc>
      </w:tr>
      <w:tr>
        <w:trPr>
          <w:trHeight w:hRule="auto"/>
          <w:cantSplit/>
        </w:trPr>
        <w:tc>
          <w:tcPr>
            <w:tcW w:type="dxa" w:w="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R2</w:t>
            </w:r>
          </w:p>
        </w:tc>
        <w:tc>
          <w:tcPr>
            <w:tcW w:type="dxa" w:w="3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Her hizmet için ayrı veri tablosu ve portal</w:t>
            </w:r>
          </w:p>
        </w:tc>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Yüksek</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Ortak kimlik/veri modeli ve data contract</w:t>
            </w:r>
          </w:p>
        </w:tc>
      </w:tr>
      <w:tr>
        <w:trPr>
          <w:trHeight w:hRule="auto"/>
          <w:cantSplit/>
        </w:trPr>
        <w:tc>
          <w:tcPr>
            <w:tcW w:type="dxa" w:w="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R3</w:t>
            </w:r>
          </w:p>
        </w:tc>
        <w:tc>
          <w:tcPr>
            <w:tcW w:type="dxa" w:w="3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Mevzuatın kod içine gömülmesi</w:t>
            </w:r>
          </w:p>
        </w:tc>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Kritik</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Sürümlü rule catalog; uzman onayı; test</w:t>
            </w:r>
          </w:p>
        </w:tc>
      </w:tr>
      <w:tr>
        <w:trPr>
          <w:trHeight w:hRule="auto"/>
          <w:cantSplit/>
        </w:trPr>
        <w:tc>
          <w:tcPr>
            <w:tcW w:type="dxa" w:w="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R4</w:t>
            </w:r>
          </w:p>
        </w:tc>
        <w:tc>
          <w:tcPr>
            <w:tcW w:type="dxa" w:w="3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Marka sahipliği çatışması</w:t>
            </w:r>
          </w:p>
        </w:tc>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Yüksek</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Hizmet kodu, tek Accountable, gelir/SLA sözleşmesi</w:t>
            </w:r>
          </w:p>
        </w:tc>
      </w:tr>
      <w:tr>
        <w:trPr>
          <w:trHeight w:hRule="auto"/>
          <w:cantSplit/>
        </w:trPr>
        <w:tc>
          <w:tcPr>
            <w:tcW w:type="dxa" w:w="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R5</w:t>
            </w:r>
          </w:p>
        </w:tc>
        <w:tc>
          <w:tcPr>
            <w:tcW w:type="dxa" w:w="3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AI çıktısının kesin hüküm kabulü</w:t>
            </w:r>
          </w:p>
        </w:tc>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Kritik</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Kaynak, HITL, risk kapısı, audit</w:t>
            </w:r>
          </w:p>
        </w:tc>
      </w:tr>
      <w:tr>
        <w:trPr>
          <w:trHeight w:hRule="auto"/>
          <w:cantSplit/>
        </w:trPr>
        <w:tc>
          <w:tcPr>
            <w:tcW w:type="dxa" w:w="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R6</w:t>
            </w:r>
          </w:p>
        </w:tc>
        <w:tc>
          <w:tcPr>
            <w:tcW w:type="dxa" w:w="3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Tenant veri sızıntısı</w:t>
            </w:r>
          </w:p>
        </w:tc>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Kritik</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RLS/ABAC, test, maskeleme, dar servis hesabı</w:t>
            </w:r>
          </w:p>
        </w:tc>
      </w:tr>
      <w:tr>
        <w:trPr>
          <w:trHeight w:hRule="auto"/>
          <w:cantSplit/>
        </w:trPr>
        <w:tc>
          <w:tcPr>
            <w:tcW w:type="dxa" w:w="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R7</w:t>
            </w:r>
          </w:p>
        </w:tc>
        <w:tc>
          <w:tcPr>
            <w:tcW w:type="dxa" w:w="3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Noktadan noktaya entegrasyon ağı</w:t>
            </w:r>
          </w:p>
        </w:tc>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Yüksek</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API/event standardı, mimari kurul, katalog</w:t>
            </w:r>
          </w:p>
        </w:tc>
      </w:tr>
      <w:tr>
        <w:trPr>
          <w:trHeight w:hRule="auto"/>
          <w:cantSplit/>
        </w:trPr>
        <w:tc>
          <w:tcPr>
            <w:tcW w:type="dxa" w:w="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R8</w:t>
            </w:r>
          </w:p>
        </w:tc>
        <w:tc>
          <w:tcPr>
            <w:tcW w:type="dxa" w:w="3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Tedarikçinin düşük dijital kapasitesi</w:t>
            </w:r>
          </w:p>
        </w:tc>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Orta</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Portal + Excel + API; aynı kalite akışı</w:t>
            </w:r>
          </w:p>
        </w:tc>
      </w:tr>
      <w:tr>
        <w:trPr>
          <w:trHeight w:hRule="auto"/>
          <w:cantSplit/>
        </w:trPr>
        <w:tc>
          <w:tcPr>
            <w:tcW w:type="dxa" w:w="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R9</w:t>
            </w:r>
          </w:p>
        </w:tc>
        <w:tc>
          <w:tcPr>
            <w:tcW w:type="dxa" w:w="3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Form ve bildirim yorgunluğu</w:t>
            </w:r>
          </w:p>
        </w:tc>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Yüksek</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Rol bazlı UX, tekrar veri önleme, öncelik</w:t>
            </w:r>
          </w:p>
        </w:tc>
      </w:tr>
      <w:tr>
        <w:trPr>
          <w:trHeight w:hRule="auto"/>
          <w:cantSplit/>
        </w:trPr>
        <w:tc>
          <w:tcPr>
            <w:tcW w:type="dxa" w:w="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R10</w:t>
            </w:r>
          </w:p>
        </w:tc>
        <w:tc>
          <w:tcPr>
            <w:tcW w:type="dxa" w:w="3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Kural/veri sahibinin atanmaması</w:t>
            </w:r>
          </w:p>
        </w:tc>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Yüksek</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RACI ve yayın kapısı</w:t>
            </w:r>
          </w:p>
        </w:tc>
      </w:tr>
      <w:tr>
        <w:trPr>
          <w:trHeight w:hRule="auto"/>
          <w:cantSplit/>
        </w:trPr>
        <w:tc>
          <w:tcPr>
            <w:tcW w:type="dxa" w:w="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R11</w:t>
            </w:r>
          </w:p>
        </w:tc>
        <w:tc>
          <w:tcPr>
            <w:tcW w:type="dxa" w:w="3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Pilot faydasının ölçülmemesi</w:t>
            </w:r>
          </w:p>
        </w:tc>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Yüksek</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Baseline/KPI/fayda sahibi; Go/No-Go</w:t>
            </w:r>
          </w:p>
        </w:tc>
      </w:tr>
      <w:tr>
        <w:trPr>
          <w:trHeight w:hRule="auto"/>
          <w:cantSplit/>
        </w:trPr>
        <w:tc>
          <w:tcPr>
            <w:tcW w:type="dxa" w:w="8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R12</w:t>
            </w:r>
          </w:p>
        </w:tc>
        <w:tc>
          <w:tcPr>
            <w:tcW w:type="dxa" w:w="36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Kurucu/tek uzman bağımlılığı</w:t>
            </w:r>
          </w:p>
        </w:tc>
        <w:tc>
          <w:tcPr>
            <w:tcW w:type="dxa" w:w="1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Yüksek</w:t>
            </w:r>
          </w:p>
        </w:tc>
        <w:tc>
          <w:tcPr>
            <w:tcW w:type="dxa" w:w="38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Yetkilendirme, mentor, içerik/kural sürümü, audit</w:t>
            </w:r>
          </w:p>
        </w:tc>
      </w:tr>
    </w:tbl>
    <w:p>
      <w:pPr>
        <w:spacing w:after="20"/>
      </w:pPr>
    </w:p>
    <w:p>
      <w:r>
        <w:br w:type="page"/>
      </w:r>
    </w:p>
    <w:p>
      <w:pPr>
        <w:pStyle w:val="Heading2"/>
        <w:keepNext/>
        <w:keepLines/>
      </w:pPr>
      <w:r>
        <w:t>23.1 Yönetimin İlk 10 Kararı</w:t>
      </w:r>
    </w:p>
    <w:p>
      <w:pPr>
        <w:numPr>
          <w:ilvl w:val="0"/>
          <w:numId w:val="14"/>
        </w:numPr>
        <w:spacing w:after="80" w:line="280" w:lineRule="auto"/>
        <w:ind w:left="720" w:hanging="360"/>
      </w:pPr>
      <w:r>
        <w:rPr>
          <w:rFonts w:ascii="Calibri" w:hAnsi="Calibri" w:eastAsia="Calibri"/>
          <w:color w:val="1F2933"/>
          <w:sz w:val="22"/>
        </w:rPr>
        <w:t>Platformun nihai ürün/marka adı: 3E Model Hub mı, 3E Platform mu?</w:t>
      </w:r>
    </w:p>
    <w:p>
      <w:pPr>
        <w:numPr>
          <w:ilvl w:val="0"/>
          <w:numId w:val="14"/>
        </w:numPr>
        <w:spacing w:after="80" w:line="280" w:lineRule="auto"/>
        <w:ind w:left="720" w:hanging="360"/>
      </w:pPr>
      <w:r>
        <w:rPr>
          <w:rFonts w:ascii="Calibri" w:hAnsi="Calibri" w:eastAsia="Calibri"/>
          <w:color w:val="1F2933"/>
          <w:sz w:val="22"/>
        </w:rPr>
        <w:t>Teknoloji sahibi marka: 3e Teknoloji mi, Pitbull mu; tüzel ve fikrî mülkiyet sahibi kim?</w:t>
      </w:r>
    </w:p>
    <w:p>
      <w:pPr>
        <w:numPr>
          <w:ilvl w:val="0"/>
          <w:numId w:val="14"/>
        </w:numPr>
        <w:spacing w:after="80" w:line="280" w:lineRule="auto"/>
        <w:ind w:left="720" w:hanging="360"/>
      </w:pPr>
      <w:r>
        <w:rPr>
          <w:rFonts w:ascii="Calibri" w:hAnsi="Calibri" w:eastAsia="Calibri"/>
          <w:color w:val="1F2933"/>
          <w:sz w:val="22"/>
        </w:rPr>
        <w:t>İlk pilot müşteri ve iki altın senaryo hangileri?</w:t>
      </w:r>
    </w:p>
    <w:p>
      <w:pPr>
        <w:numPr>
          <w:ilvl w:val="0"/>
          <w:numId w:val="14"/>
        </w:numPr>
        <w:spacing w:after="80" w:line="280" w:lineRule="auto"/>
        <w:ind w:left="720" w:hanging="360"/>
      </w:pPr>
      <w:r>
        <w:rPr>
          <w:rFonts w:ascii="Calibri" w:hAnsi="Calibri" w:eastAsia="Calibri"/>
          <w:color w:val="1F2933"/>
          <w:sz w:val="22"/>
        </w:rPr>
        <w:t>İlk 24 haftanın bütçe, ekip ve dış kaynak sınırı nedir?</w:t>
      </w:r>
    </w:p>
    <w:p>
      <w:pPr>
        <w:numPr>
          <w:ilvl w:val="0"/>
          <w:numId w:val="14"/>
        </w:numPr>
        <w:spacing w:after="80" w:line="280" w:lineRule="auto"/>
        <w:ind w:left="720" w:hanging="360"/>
      </w:pPr>
      <w:r>
        <w:rPr>
          <w:rFonts w:ascii="Calibri" w:hAnsi="Calibri" w:eastAsia="Calibri"/>
          <w:color w:val="1F2933"/>
          <w:sz w:val="22"/>
        </w:rPr>
        <w:t>Kimlik/SSO, hosting ve veri bölgesi tercihi nedir?</w:t>
      </w:r>
    </w:p>
    <w:p>
      <w:pPr>
        <w:numPr>
          <w:ilvl w:val="0"/>
          <w:numId w:val="14"/>
        </w:numPr>
        <w:spacing w:after="80" w:line="280" w:lineRule="auto"/>
        <w:ind w:left="720" w:hanging="360"/>
      </w:pPr>
      <w:r>
        <w:rPr>
          <w:rFonts w:ascii="Calibri" w:hAnsi="Calibri" w:eastAsia="Calibri"/>
          <w:color w:val="1F2933"/>
          <w:sz w:val="22"/>
        </w:rPr>
        <w:t>İlk sürümde workflow motoru satın alma mı, kod tabanlı geliştirme mi?</w:t>
      </w:r>
    </w:p>
    <w:p>
      <w:pPr>
        <w:numPr>
          <w:ilvl w:val="0"/>
          <w:numId w:val="14"/>
        </w:numPr>
        <w:spacing w:after="80" w:line="280" w:lineRule="auto"/>
        <w:ind w:left="720" w:hanging="360"/>
      </w:pPr>
      <w:r>
        <w:rPr>
          <w:rFonts w:ascii="Calibri" w:hAnsi="Calibri" w:eastAsia="Calibri"/>
          <w:color w:val="1F2933"/>
          <w:sz w:val="22"/>
        </w:rPr>
        <w:t>Mevcut Logfiks ve IF DIGIT API/DB erişim sınırları nelerdir?</w:t>
      </w:r>
    </w:p>
    <w:p>
      <w:pPr>
        <w:numPr>
          <w:ilvl w:val="0"/>
          <w:numId w:val="14"/>
        </w:numPr>
        <w:spacing w:after="80" w:line="280" w:lineRule="auto"/>
        <w:ind w:left="720" w:hanging="360"/>
      </w:pPr>
      <w:r>
        <w:rPr>
          <w:rFonts w:ascii="Calibri" w:hAnsi="Calibri" w:eastAsia="Calibri"/>
          <w:color w:val="1F2933"/>
          <w:sz w:val="22"/>
        </w:rPr>
        <w:t>3E kural/metodoloji yayın kurulu kimlerden oluşacaktır?</w:t>
      </w:r>
    </w:p>
    <w:p>
      <w:pPr>
        <w:numPr>
          <w:ilvl w:val="0"/>
          <w:numId w:val="14"/>
        </w:numPr>
        <w:spacing w:after="80" w:line="280" w:lineRule="auto"/>
        <w:ind w:left="720" w:hanging="360"/>
      </w:pPr>
      <w:r>
        <w:rPr>
          <w:rFonts w:ascii="Calibri" w:hAnsi="Calibri" w:eastAsia="Calibri"/>
          <w:color w:val="1F2933"/>
          <w:sz w:val="22"/>
        </w:rPr>
        <w:t>Markalar arası fiyat, maliyet, gelir payı ve SLA ilkesi nedir?</w:t>
      </w:r>
    </w:p>
    <w:p>
      <w:pPr>
        <w:numPr>
          <w:ilvl w:val="0"/>
          <w:numId w:val="14"/>
        </w:numPr>
        <w:spacing w:after="80" w:line="280" w:lineRule="auto"/>
        <w:ind w:left="720" w:hanging="360"/>
      </w:pPr>
      <w:r>
        <w:rPr>
          <w:rFonts w:ascii="Calibri" w:hAnsi="Calibri" w:eastAsia="Calibri"/>
          <w:color w:val="1F2933"/>
          <w:sz w:val="22"/>
        </w:rPr>
        <w:t>Müşteri ve tedarikçi verisinin saklama/anonim vaka kullanım politikası nedir?</w:t>
      </w:r>
    </w:p>
    <w:p>
      <w:r>
        <w:br w:type="page"/>
      </w:r>
    </w:p>
    <w:p>
      <w:pPr>
        <w:pStyle w:val="Heading1"/>
        <w:keepNext/>
        <w:keepLines/>
      </w:pPr>
      <w:r>
        <w:t>EK A — Örnek Servis Talebi JSON</w:t>
      </w:r>
    </w:p>
    <w:p>
      <w:pPr>
        <w:pStyle w:val="CodeBlock"/>
      </w:pPr>
      <w:r>
        <w:t>{</w:t>
        <w:br/>
        <w:t xml:space="preserve">  "tenant_id": "uuid",</w:t>
        <w:br/>
        <w:t xml:space="preserve">  "request_source": "CUSTOMER_PORTAL",</w:t>
        <w:br/>
        <w:t xml:space="preserve">  "requested_service_text": "EUDR kapsamımızı ve DDS sürecini kurmak istiyoruz",</w:t>
        <w:br/>
        <w:t xml:space="preserve">  "desired_outcome": "AB sevkiyatlarında izlenebilir ve kanıtlı uygunluk",</w:t>
        <w:br/>
        <w:t xml:space="preserve">  "scope": {</w:t>
        <w:br/>
        <w:t xml:space="preserve">    "organizations": ["uuid"],</w:t>
        <w:br/>
        <w:t xml:space="preserve">    "sites": ["uuid"],</w:t>
        <w:br/>
        <w:t xml:space="preserve">    "product_ids": ["uuid"],</w:t>
        <w:br/>
        <w:t xml:space="preserve">    "period": {"from": "2026-01-01", "to": "2026-12-31"}</w:t>
        <w:br/>
        <w:t xml:space="preserve">  },</w:t>
        <w:br/>
        <w:t xml:space="preserve">  "deadline": "2026-09-30",</w:t>
        <w:br/>
        <w:t xml:space="preserve">  "initial_evidence_ids": ["uuid"],</w:t>
        <w:br/>
        <w:t xml:space="preserve">  "contacts": [{"person_id": "uuid", "role": "SPONSOR"}],</w:t>
        <w:br/>
        <w:t xml:space="preserve">  "consents": {"data_processing": true}</w:t>
        <w:br/>
        <w:t>}</w:t>
      </w:r>
    </w:p>
    <w:p>
      <w:pPr>
        <w:pStyle w:val="Heading1"/>
        <w:keepNext/>
        <w:keepLines/>
      </w:pPr>
      <w:r>
        <w:t>EK B — Örnek Modül Sözleşmesi</w:t>
      </w:r>
    </w:p>
    <w:p>
      <w:pPr>
        <w:pStyle w:val="CodeBlock"/>
      </w:pPr>
      <w:r>
        <w:t>module_code: SUS.EUDR.DDS</w:t>
        <w:br/>
        <w:t>version: 1.0.0</w:t>
        <w:br/>
        <w:t>owner_provider: Carbonless Technologies</w:t>
        <w:br/>
        <w:t>required_inputs:</w:t>
        <w:br/>
        <w:t xml:space="preserve">  - product_id</w:t>
        <w:br/>
        <w:t xml:space="preserve">  - supplier_facility_id</w:t>
        <w:br/>
        <w:t xml:space="preserve">  - commodity_classification</w:t>
        <w:br/>
        <w:t xml:space="preserve">  - origin/geolocation_evidence</w:t>
        <w:br/>
        <w:t>commands:</w:t>
        <w:br/>
        <w:t xml:space="preserve">  - start_due_diligence_case</w:t>
        <w:br/>
        <w:t>events:</w:t>
        <w:br/>
        <w:t xml:space="preserve">  publishes:</w:t>
        <w:br/>
        <w:t xml:space="preserve">    - eudr.dds_case.created.v1</w:t>
        <w:br/>
        <w:t xml:space="preserve">    - eudr.risk_decision.recorded.v1</w:t>
        <w:br/>
        <w:t>approval_policy:</w:t>
        <w:br/>
        <w:t xml:space="preserve">  high_risk: AUTHORIZED_EUDR_EXPERT</w:t>
        <w:br/>
        <w:t>sla:</w:t>
        <w:br/>
        <w:t xml:space="preserve">  start_hours: 8</w:t>
        <w:br/>
        <w:t xml:space="preserve">  standard_completion_days: 10</w:t>
        <w:br/>
        <w:t>error_policy:</w:t>
        <w:br/>
        <w:t xml:space="preserve">  missing_data: WAITING_FOR_SUPPLIER</w:t>
        <w:br/>
        <w:t xml:space="preserve">  integration_error: RETRY_THEN_MANUAL_REVIEW</w:t>
      </w:r>
    </w:p>
    <w:p>
      <w:pPr>
        <w:pStyle w:val="Heading1"/>
        <w:keepNext/>
        <w:keepLines/>
      </w:pPr>
      <w:r>
        <w:t>EK C — Durum Geçiş Kuralları</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1900"/>
        <w:gridCol w:w="1900"/>
        <w:gridCol w:w="4100"/>
        <w:gridCol w:w="1460"/>
      </w:tblGrid>
      <w:tr>
        <w:trPr>
          <w:trHeight w:hRule="auto"/>
          <w:tblHeader w:val="true"/>
          <w:cantSplit/>
        </w:trPr>
        <w:tc>
          <w:tcPr>
            <w:tcW w:type="dxa" w:w="19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Kaynak</w:t>
            </w:r>
          </w:p>
        </w:tc>
        <w:tc>
          <w:tcPr>
            <w:tcW w:type="dxa" w:w="19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Hedef</w:t>
            </w:r>
          </w:p>
        </w:tc>
        <w:tc>
          <w:tcPr>
            <w:tcW w:type="dxa" w:w="410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Koşul</w:t>
            </w:r>
          </w:p>
        </w:tc>
        <w:tc>
          <w:tcPr>
            <w:tcW w:type="dxa" w:w="1460"/>
            <w:shd w:fill="E8F3F2"/>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Yetki</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SUBMITTED</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TRIAGE</w:t>
            </w:r>
          </w:p>
        </w:tc>
        <w:tc>
          <w:tcPr>
            <w:tcW w:type="dxa" w:w="4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Minimum alanlar geçerli</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Sistem</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TRIAGE</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DIAGNOSIS_REQUIRED</w:t>
            </w:r>
          </w:p>
        </w:tc>
        <w:tc>
          <w:tcPr>
            <w:tcW w:type="dxa" w:w="4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Talep/gerçek ihtiyaç belirsiz veya çok modüllü</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Çözüm mimarı</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TRIAGE</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SOLUTION_DESIGN</w:t>
            </w:r>
          </w:p>
        </w:tc>
        <w:tc>
          <w:tcPr>
            <w:tcW w:type="dxa" w:w="4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Düşük riskli, standart ve kanıtlı hizmet</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Yetkili kural</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DIAGNOSIS_REQUIRED</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SOLUTION_DESIGN</w:t>
            </w:r>
          </w:p>
        </w:tc>
        <w:tc>
          <w:tcPr>
            <w:tcW w:type="dxa" w:w="4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Sekiz aşama ve yönetim kararı tamam</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Teşhis lideri</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SOLUTION_DESIGN</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PROPOSAL_REVIEW</w:t>
            </w:r>
          </w:p>
        </w:tc>
        <w:tc>
          <w:tcPr>
            <w:tcW w:type="dxa" w:w="4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Grafikte döngü/eksik sahip yok</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Çözüm mimarı</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PROPOSAL_REVIEW</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CUSTOMER_DECISION</w:t>
            </w:r>
          </w:p>
        </w:tc>
        <w:tc>
          <w:tcPr>
            <w:tcW w:type="dxa" w:w="4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İç kalite/kapasite/fiyat onaylı</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Ürün/marka</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CUSTOMER_DECISION</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ACTIVE</w:t>
            </w:r>
          </w:p>
        </w:tc>
        <w:tc>
          <w:tcPr>
            <w:tcW w:type="dxa" w:w="4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Müşteri onayı/sözleşme referansı</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Program yöneticisi</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ACTIVE</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BLOCKED</w:t>
            </w:r>
          </w:p>
        </w:tc>
        <w:tc>
          <w:tcPr>
            <w:tcW w:type="dxa" w:w="4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Kritik veri/karar/entegrasyon engeli</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Sistem/iş sahibi</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BLOCKED</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ACTIVE</w:t>
            </w:r>
          </w:p>
        </w:tc>
        <w:tc>
          <w:tcPr>
            <w:tcW w:type="dxa" w:w="4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Engel kanıtla çözüldü</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Engel sahibi</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ACTIVE</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VALIDATION</w:t>
            </w:r>
          </w:p>
        </w:tc>
        <w:tc>
          <w:tcPr>
            <w:tcW w:type="dxa" w:w="4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Tüm zorunlu iş emirleri tamam</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Orkestratör</w:t>
            </w:r>
          </w:p>
        </w:tc>
      </w:tr>
      <w:tr>
        <w:trPr>
          <w:trHeight w:hRule="auto"/>
          <w:cantSplit/>
        </w:trPr>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VALIDATION</w:t>
            </w:r>
          </w:p>
        </w:tc>
        <w:tc>
          <w:tcPr>
            <w:tcW w:type="dxa" w:w="19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CLOSED</w:t>
            </w:r>
          </w:p>
        </w:tc>
        <w:tc>
          <w:tcPr>
            <w:tcW w:type="dxa" w:w="410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Sonuç/kanıt/fayda kabul</w:t>
            </w:r>
          </w:p>
        </w:tc>
        <w:tc>
          <w:tcPr>
            <w:tcW w:type="dxa" w:w="14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6"/>
              </w:rPr>
              <w:t>Güvence/sonuç sahibi</w:t>
            </w:r>
          </w:p>
        </w:tc>
      </w:tr>
    </w:tbl>
    <w:p>
      <w:pPr>
        <w:spacing w:after="20"/>
      </w:pPr>
    </w:p>
    <w:p>
      <w:pPr>
        <w:pStyle w:val="Heading1"/>
        <w:keepNext/>
        <w:keepLines/>
      </w:pPr>
      <w:r>
        <w:t>EK D — Definition of Done</w:t>
      </w:r>
    </w:p>
    <w:p>
      <w:pPr>
        <w:numPr>
          <w:ilvl w:val="0"/>
          <w:numId w:val="10"/>
        </w:numPr>
        <w:spacing w:before="0" w:after="80" w:line="280" w:lineRule="auto"/>
        <w:ind w:left="720" w:hanging="360"/>
      </w:pPr>
      <w:r>
        <w:rPr>
          <w:rFonts w:ascii="Calibri" w:hAnsi="Calibri" w:eastAsia="Calibri"/>
          <w:color w:val="1F2933"/>
          <w:sz w:val="22"/>
        </w:rPr>
        <w:t>Kullanıcı hikâyesi ve iş sonucu tanımlı</w:t>
      </w:r>
    </w:p>
    <w:p>
      <w:pPr>
        <w:numPr>
          <w:ilvl w:val="0"/>
          <w:numId w:val="10"/>
        </w:numPr>
        <w:spacing w:before="0" w:after="80" w:line="280" w:lineRule="auto"/>
        <w:ind w:left="720" w:hanging="360"/>
      </w:pPr>
      <w:r>
        <w:rPr>
          <w:rFonts w:ascii="Calibri" w:hAnsi="Calibri" w:eastAsia="Calibri"/>
          <w:color w:val="1F2933"/>
          <w:sz w:val="22"/>
        </w:rPr>
        <w:t>Tenant/rol/veri sınıfı etkisi değerlendirilmiş</w:t>
      </w:r>
    </w:p>
    <w:p>
      <w:pPr>
        <w:numPr>
          <w:ilvl w:val="0"/>
          <w:numId w:val="10"/>
        </w:numPr>
        <w:spacing w:before="0" w:after="80" w:line="280" w:lineRule="auto"/>
        <w:ind w:left="720" w:hanging="360"/>
      </w:pPr>
      <w:r>
        <w:rPr>
          <w:rFonts w:ascii="Calibri" w:hAnsi="Calibri" w:eastAsia="Calibri"/>
          <w:color w:val="1F2933"/>
          <w:sz w:val="22"/>
        </w:rPr>
        <w:t>API/event sözleşmesi sürümlü</w:t>
      </w:r>
    </w:p>
    <w:p>
      <w:pPr>
        <w:numPr>
          <w:ilvl w:val="0"/>
          <w:numId w:val="10"/>
        </w:numPr>
        <w:spacing w:before="0" w:after="80" w:line="280" w:lineRule="auto"/>
        <w:ind w:left="720" w:hanging="360"/>
      </w:pPr>
      <w:r>
        <w:rPr>
          <w:rFonts w:ascii="Calibri" w:hAnsi="Calibri" w:eastAsia="Calibri"/>
          <w:color w:val="1F2933"/>
          <w:sz w:val="22"/>
        </w:rPr>
        <w:t>Kural ve hata senaryoları test edilmiş</w:t>
      </w:r>
    </w:p>
    <w:p>
      <w:pPr>
        <w:numPr>
          <w:ilvl w:val="0"/>
          <w:numId w:val="10"/>
        </w:numPr>
        <w:spacing w:before="0" w:after="80" w:line="280" w:lineRule="auto"/>
        <w:ind w:left="720" w:hanging="360"/>
      </w:pPr>
      <w:r>
        <w:rPr>
          <w:rFonts w:ascii="Calibri" w:hAnsi="Calibri" w:eastAsia="Calibri"/>
          <w:color w:val="1F2933"/>
          <w:sz w:val="22"/>
        </w:rPr>
        <w:t>Audit ve gözlemlenebilirlik eklenmiş</w:t>
      </w:r>
    </w:p>
    <w:p>
      <w:pPr>
        <w:numPr>
          <w:ilvl w:val="0"/>
          <w:numId w:val="10"/>
        </w:numPr>
        <w:spacing w:before="0" w:after="80" w:line="280" w:lineRule="auto"/>
        <w:ind w:left="720" w:hanging="360"/>
      </w:pPr>
      <w:r>
        <w:rPr>
          <w:rFonts w:ascii="Calibri" w:hAnsi="Calibri" w:eastAsia="Calibri"/>
          <w:color w:val="1F2933"/>
          <w:sz w:val="22"/>
        </w:rPr>
        <w:t>Kişisel/hassas veri minimizasyonu yapılmış</w:t>
      </w:r>
    </w:p>
    <w:p>
      <w:pPr>
        <w:numPr>
          <w:ilvl w:val="0"/>
          <w:numId w:val="10"/>
        </w:numPr>
        <w:spacing w:before="0" w:after="80" w:line="280" w:lineRule="auto"/>
        <w:ind w:left="720" w:hanging="360"/>
      </w:pPr>
      <w:r>
        <w:rPr>
          <w:rFonts w:ascii="Calibri" w:hAnsi="Calibri" w:eastAsia="Calibri"/>
          <w:color w:val="1F2933"/>
          <w:sz w:val="22"/>
        </w:rPr>
        <w:t>Unit/integration/security testleri geçmiş</w:t>
      </w:r>
    </w:p>
    <w:p>
      <w:pPr>
        <w:numPr>
          <w:ilvl w:val="0"/>
          <w:numId w:val="10"/>
        </w:numPr>
        <w:spacing w:before="0" w:after="80" w:line="280" w:lineRule="auto"/>
        <w:ind w:left="720" w:hanging="360"/>
      </w:pPr>
      <w:r>
        <w:rPr>
          <w:rFonts w:ascii="Calibri" w:hAnsi="Calibri" w:eastAsia="Calibri"/>
          <w:color w:val="1F2933"/>
          <w:sz w:val="22"/>
        </w:rPr>
        <w:t>Domain lideri UAT kanıtı mevcut</w:t>
      </w:r>
    </w:p>
    <w:p>
      <w:pPr>
        <w:numPr>
          <w:ilvl w:val="0"/>
          <w:numId w:val="10"/>
        </w:numPr>
        <w:spacing w:before="0" w:after="80" w:line="280" w:lineRule="auto"/>
        <w:ind w:left="720" w:hanging="360"/>
      </w:pPr>
      <w:r>
        <w:rPr>
          <w:rFonts w:ascii="Calibri" w:hAnsi="Calibri" w:eastAsia="Calibri"/>
          <w:color w:val="1F2933"/>
          <w:sz w:val="22"/>
        </w:rPr>
        <w:t>Dokümantasyon ve operasyon runbook’u güncel</w:t>
      </w:r>
    </w:p>
    <w:p>
      <w:pPr>
        <w:numPr>
          <w:ilvl w:val="0"/>
          <w:numId w:val="10"/>
        </w:numPr>
        <w:spacing w:before="0" w:after="80" w:line="280" w:lineRule="auto"/>
        <w:ind w:left="720" w:hanging="360"/>
      </w:pPr>
      <w:r>
        <w:rPr>
          <w:rFonts w:ascii="Calibri" w:hAnsi="Calibri" w:eastAsia="Calibri"/>
          <w:color w:val="1F2933"/>
          <w:sz w:val="22"/>
        </w:rPr>
        <w:t>Geri dönüş veya feature flag planı mevcut</w:t>
      </w:r>
    </w:p>
    <w:p>
      <w:pPr>
        <w:pStyle w:val="Heading1"/>
        <w:keepNext/>
        <w:keepLines/>
      </w:pPr>
      <w:r>
        <w:t>EK E — İlk Ürün Backlog’u</w:t>
      </w:r>
    </w:p>
    <w:tbl>
      <w:tblPr>
        <w:tblStyle w:val="TableGrid"/>
        <w:tblW w:type="dxa" w:w="9360"/>
        <w:jc w:val="left"/>
        <w:tblLayout w:type="fixed"/>
        <w:tblLook w:firstColumn="1" w:firstRow="1" w:lastColumn="0" w:lastRow="0" w:noHBand="0" w:noVBand="1" w:val="04A0"/>
        <w:tblInd w:w="120" w:type="dxa"/>
        <w:tblBorders>
          <w:top w:val="single" w:sz="4" w:space="0" w:color="D7DEE5"/>
          <w:left w:val="single" w:sz="4" w:space="0" w:color="D7DEE5"/>
          <w:bottom w:val="single" w:sz="4" w:space="0" w:color="D7DEE5"/>
          <w:right w:val="single" w:sz="4" w:space="0" w:color="D7DEE5"/>
          <w:insideH w:val="single" w:sz="4" w:space="0" w:color="D7DEE5"/>
          <w:insideV w:val="single" w:sz="4" w:space="0" w:color="D7DEE5"/>
        </w:tblBorders>
      </w:tblPr>
      <w:tblGrid>
        <w:gridCol w:w="1700"/>
        <w:gridCol w:w="7660"/>
      </w:tblGrid>
      <w:tr>
        <w:trPr>
          <w:trHeight w:hRule="auto"/>
          <w:tblHeader w:val="true"/>
          <w:cantSplit/>
        </w:trPr>
        <w:tc>
          <w:tcPr>
            <w:tcW w:type="dxa" w:w="170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Epic</w:t>
            </w:r>
          </w:p>
        </w:tc>
        <w:tc>
          <w:tcPr>
            <w:tcW w:type="dxa" w:w="7660"/>
            <w:shd w:fill="E8EEF5"/>
            <w:tcMar>
              <w:top w:w="80" w:type="dxa"/>
              <w:start w:w="120" w:type="dxa"/>
              <w:bottom w:w="80" w:type="dxa"/>
              <w:end w:w="120" w:type="dxa"/>
            </w:tcMar>
            <w:vAlign w:val="center"/>
          </w:tcPr>
          <w:p>
            <w:pPr>
              <w:spacing w:before="0" w:after="0" w:line="252" w:lineRule="auto"/>
            </w:pPr>
            <w:r/>
            <w:r>
              <w:rPr>
                <w:rFonts w:ascii="Calibri" w:hAnsi="Calibri" w:eastAsia="Calibri"/>
                <w:b/>
                <w:color w:val="17324D"/>
                <w:sz w:val="18"/>
              </w:rPr>
              <w:t>Kapsam</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EPIC-01</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Tenant, organizasyon ve kullanıcı</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EPIC-02</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Müşteri, talep ve triage</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EPIC-03</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3E teşhis ve olgunluk</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EPIC-04</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Hizmet kataloğu, modül registry ve hizmet grafiği</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EPIC-05</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Teklif, iç onay, proje ve iş emri</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EPIC-06</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RACI, görev, SLA, eskalasyon ve bildirim</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EPIC-07</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Kanıt, doküman, sürüm ve audit</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EPIC-08</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Kural kataloğu ve karar motoru</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EPIC-09</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Ortak ürün/tedarikçi/tesis veri omurgası</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EPIC-10</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CBAM/EUDR/PPWR pilot adaptörleri</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EPIC-11</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ST TMGD/DG + Logfiks entegrasyonu</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EPIC-12</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Academy yetkinlik olayları</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EPIC-13</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Survey saha PWA</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EPIC-14</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Müşteri/tedarikçi portalı</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EPIC-15</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API/event/outbox/inbox/DLQ</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EPIC-16</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Kontrol kulesi ve analitik</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EPIC-17</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AI ajan kayıt/gözetim katmanı</w:t>
            </w:r>
          </w:p>
        </w:tc>
      </w:tr>
      <w:tr>
        <w:trPr>
          <w:trHeight w:hRule="auto"/>
          <w:cantSplit/>
        </w:trPr>
        <w:tc>
          <w:tcPr>
            <w:tcW w:type="dxa" w:w="1700"/>
            <w:tcMar>
              <w:top w:w="80" w:type="dxa"/>
              <w:start w:w="120" w:type="dxa"/>
              <w:bottom w:w="80" w:type="dxa"/>
              <w:end w:w="120" w:type="dxa"/>
            </w:tcMar>
            <w:vAlign w:val="center"/>
          </w:tcPr>
          <w:p>
            <w:pPr>
              <w:spacing w:before="0" w:after="0" w:line="252" w:lineRule="auto"/>
            </w:pPr>
            <w:r/>
            <w:r>
              <w:rPr>
                <w:rFonts w:ascii="Calibri" w:hAnsi="Calibri" w:eastAsia="Calibri"/>
                <w:b/>
                <w:color w:val="1F2933"/>
                <w:sz w:val="18"/>
              </w:rPr>
              <w:t>EPIC-18</w:t>
            </w:r>
          </w:p>
        </w:tc>
        <w:tc>
          <w:tcPr>
            <w:tcW w:type="dxa" w:w="7660"/>
            <w:tcMar>
              <w:top w:w="80" w:type="dxa"/>
              <w:start w:w="120" w:type="dxa"/>
              <w:bottom w:w="80" w:type="dxa"/>
              <w:end w:w="120" w:type="dxa"/>
            </w:tcMar>
            <w:vAlign w:val="center"/>
          </w:tcPr>
          <w:p>
            <w:pPr>
              <w:spacing w:before="0" w:after="0" w:line="252" w:lineRule="auto"/>
            </w:pPr>
            <w:r/>
            <w:r>
              <w:rPr>
                <w:rFonts w:ascii="Calibri" w:hAnsi="Calibri" w:eastAsia="Calibri"/>
                <w:b w:val="0"/>
                <w:color w:val="1F2933"/>
                <w:sz w:val="18"/>
              </w:rPr>
              <w:t>Güvenlik, DR, operasyon ve gözlemlenebilirlik</w:t>
            </w:r>
          </w:p>
        </w:tc>
      </w:tr>
    </w:tbl>
    <w:p>
      <w:pPr>
        <w:spacing w:after="20"/>
      </w:pPr>
    </w:p>
    <w:p>
      <w:pPr>
        <w:pStyle w:val="Heading1"/>
        <w:keepNext/>
        <w:keepLines/>
      </w:pPr>
      <w:r>
        <w:t>EK F — Nihai Mimari Hüküm</w:t>
      </w:r>
    </w:p>
    <w:tbl>
      <w:tblPr>
        <w:tblStyle w:val="TableGrid"/>
        <w:tblW w:type="dxa" w:w="9360"/>
        <w:jc w:val="left"/>
        <w:tblLayout w:type="fixed"/>
        <w:tblLook w:firstColumn="1" w:firstRow="1" w:lastColumn="0" w:lastRow="0" w:noHBand="0" w:noVBand="1" w:val="04A0"/>
        <w:tblInd w:w="120" w:type="dxa"/>
        <w:tblBorders>
          <w:top w:val="single" w:sz="6" w:space="0" w:color="B58A2A"/>
          <w:left w:val="single" w:sz="6" w:space="0" w:color="B58A2A"/>
          <w:bottom w:val="single" w:sz="6" w:space="0" w:color="B58A2A"/>
          <w:right w:val="single" w:sz="6" w:space="0" w:color="B58A2A"/>
          <w:insideH w:val="single" w:sz="6" w:space="0" w:color="B58A2A"/>
          <w:insideV w:val="single" w:sz="6" w:space="0" w:color="B58A2A"/>
        </w:tblBorders>
      </w:tblPr>
      <w:tblGrid>
        <w:gridCol w:w="9360"/>
      </w:tblGrid>
      <w:tr>
        <w:trPr>
          <w:trHeight w:hRule="auto"/>
          <w:cantSplit/>
        </w:trPr>
        <w:tc>
          <w:tcPr>
            <w:tcW w:type="dxa" w:w="9360"/>
            <w:tcMar>
              <w:top w:w="140" w:type="dxa"/>
              <w:start w:w="180" w:type="dxa"/>
              <w:bottom w:w="140" w:type="dxa"/>
              <w:end w:w="180" w:type="dxa"/>
            </w:tcMar>
            <w:vAlign w:val="center"/>
            <w:shd w:fill="F8F1DF"/>
          </w:tcPr>
          <w:p>
            <w:pPr>
              <w:spacing w:after="60"/>
            </w:pPr>
            <w:r>
              <w:rPr>
                <w:rFonts w:ascii="Calibri" w:hAnsi="Calibri" w:eastAsia="Calibri"/>
                <w:b/>
                <w:color w:val="B58A2A"/>
                <w:sz w:val="18"/>
              </w:rPr>
              <w:t>SONUÇ</w:t>
            </w:r>
          </w:p>
          <w:p>
            <w:pPr>
              <w:spacing w:before="0" w:after="0" w:line="269" w:lineRule="auto"/>
            </w:pPr>
            <w:r>
              <w:rPr>
                <w:rFonts w:ascii="Calibri" w:hAnsi="Calibri" w:eastAsia="Calibri"/>
                <w:color w:val="1F2933"/>
                <w:sz w:val="20"/>
              </w:rPr>
              <w:t>3E yazılımı, modülleri tek bir dev uygulamada eritmemelidir. Ortak kimlik, ortak veri, sürümlü kurallar, merkezî orkestrasyon, olay tabanlı iletişim, insan onayı ve kanıt zinciri üzerinden uzmanlık modüllerini birbirine bağlamalıdır. Müşteri bir hizmet ister; sistem gerçek ihtiyacı bulur; 3E ekosistemi doğru sırayla çalışır; müşteri tek sonuç görür.</w:t>
            </w:r>
          </w:p>
        </w:tc>
      </w:tr>
    </w:tbl>
    <w:p>
      <w:pPr>
        <w:spacing w:after="20"/>
      </w:pPr>
    </w:p>
    <w:sectPr w:rsidR="00FC693F" w:rsidRPr="0006063C" w:rsidSect="00034616">
      <w:headerReference w:type="default" r:id="rId12"/>
      <w:footerReference w:type="default" r:id="rId13"/>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Calibri" w:hAnsi="Calibri" w:eastAsia="Calibri"/>
        <w:color w:val="5F6B76"/>
        <w:sz w:val="16"/>
      </w:rPr>
      <w:t xml:space="preserve">Sistem Analizi v1.0  •  24 Temmuz 2026  •  Sayfa </w:t>
    </w:r>
    <w:r>
      <w:rPr>
        <w:rFonts w:ascii="Calibri" w:hAnsi="Calibri" w:eastAsia="Calibri"/>
        <w:color w:val="5F6B76"/>
        <w:sz w:val="16"/>
      </w:rPr>
      <w:fldChar w:fldCharType="begin"/>
      <w:instrText xml:space="preserve">PAGE</w:instrText>
      <w:fldChar w:fldCharType="separate">
        <w:t>1</w:t>
      </w:fldCha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eastAsia="Calibri"/>
        <w:b/>
        <w:color w:val="5F6B76"/>
        <w:sz w:val="17"/>
      </w:rPr>
      <w:t>3E MODELİ  |  HİZMET ORKESTRASYON PLATFORMU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720"/>
        </w:tabs>
        <w:ind w:left="720" w:hanging="360"/>
        <w:spacing w:after="80" w:line="280" w:lineRule="auto"/>
      </w:pPr>
    </w:lvl>
  </w:abstractNum>
  <w:num w:numId="10">
    <w:abstractNumId w:val="9"/>
  </w:num>
  <w:abstractNum w:abstractNumId="10">
    <w:multiLevelType w:val="singleLevel"/>
    <w:lvl w:ilvl="0">
      <w:start w:val="1"/>
      <w:numFmt w:val="decimal"/>
      <w:lvlText w:val="%1."/>
      <w:suff w:val="tab"/>
      <w:pPr>
        <w:tabs>
          <w:tab w:val="num" w:pos="720"/>
        </w:tabs>
        <w:ind w:left="720" w:hanging="360"/>
        <w:spacing w:after="80" w:line="280" w:lineRule="auto"/>
      </w:pPr>
    </w:lvl>
  </w:abstractNum>
  <w:num w:numId="11">
    <w:abstractNumId w:val="10"/>
  </w:num>
  <w:num w:numId="12">
    <w:abstractNumId w:val="10"/>
    <w:lvlOverride w:ilvl="0">
      <w:startOverride w:val="1"/>
    </w:lvlOverride>
  </w:num>
  <w:num w:numId="13">
    <w:abstractNumId w:val="10"/>
    <w:lvlOverride w:ilvl="0">
      <w:startOverride w:val="1"/>
    </w:lvlOverride>
  </w:num>
  <w:num w:numId="14">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64" w:lineRule="auto"/>
      <w:jc w:val="left"/>
    </w:pPr>
    <w:rPr>
      <w:rFonts w:ascii="Calibri" w:hAnsi="Calibri"/>
      <w:color w:val="1F29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7324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b/>
      <w:color w:val="17324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60"/>
    </w:pPr>
    <w:rPr>
      <w:rFonts w:asciiTheme="majorHAnsi" w:eastAsiaTheme="majorEastAsia" w:hAnsiTheme="majorHAnsi" w:cstheme="majorBidi" w:ascii="Calibri" w:hAnsi="Calibri"/>
      <w:i/>
      <w:iCs/>
      <w:color w:val="5F6B76"/>
      <w:spacing w:val="15"/>
      <w:sz w:val="27"/>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 Block"/>
    <w:pPr>
      <w:spacing w:before="80" w:after="140" w:line="240" w:lineRule="auto"/>
      <w:ind w:left="230" w:right="230"/>
      <w:shd w:fill="F2F4F7"/>
    </w:pPr>
    <w:rPr>
      <w:rFonts w:ascii="DejaVu Sans Mono" w:hAnsi="DejaVu Sans Mono"/>
      <w:color w:val="1F2933"/>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3E Modeli Hizmet Orkestrasyon Platformu — Sistem Analizi v1.0</dc:title>
  <dc:subject>Yazılımcıya yönelik sistem analizi, mimari ve algoritma tasarımı</dc:subject>
  <dc:creator>3E Group</dc:creator>
  <cp:keywords>3E Modeli, orkestrasyon, sistem analizi, CBAM, EUDR, PPWR, Logfiks, IF DIGIT</cp:keywords>
  <dc:description>24 Temmuz 2026 geliştirici teslim sürümü</dc:description>
  <cp:lastModifiedBy/>
  <cp:revision>1</cp:revision>
  <dcterms:created xsi:type="dcterms:W3CDTF">2013-12-23T23:15:00Z</dcterms:created>
  <dcterms:modified xsi:type="dcterms:W3CDTF">2013-12-23T23:15:00Z</dcterms:modified>
  <cp:category/>
</cp:coreProperties>
</file>