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20" w:after="240"/>
      </w:pPr>
      <w:r>
        <w:rPr>
          <w:rFonts w:ascii="Calibri" w:hAnsi="Calibri" w:eastAsia="Calibri"/>
          <w:b/>
          <w:color w:val="2E74B5"/>
          <w:sz w:val="24"/>
        </w:rPr>
        <w:t>3E GROUP • LOGFİKS</w:t>
      </w:r>
    </w:p>
    <w:p>
      <w:pPr>
        <w:pStyle w:val="Title"/>
        <w:jc w:val="left"/>
      </w:pPr>
      <w:r>
        <w:t>Çok Modlu Tehlikeli Yük ve</w:t>
        <w:br/>
        <w:t>Denizcilik Uyum Modülü</w:t>
      </w:r>
    </w:p>
    <w:p>
      <w:pPr>
        <w:pStyle w:val="Subtitle"/>
      </w:pPr>
      <w:r>
        <w:t>Kapsam, Fonksiyonlar, Veri Alanları ve Kaynak Yönetimi Listesi</w:t>
      </w:r>
    </w:p>
    <w:p>
      <w:pPr>
        <w:spacing w:after="360"/>
      </w:pP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2400"/>
        <w:gridCol w:w="6960"/>
      </w:tblGrid>
      <w:tr>
        <w:trPr>
          <w:tblHeader w:val="true"/>
        </w:trPr>
        <w:tc>
          <w:tcPr>
            <w:tcW w:type="dxa" w:w="24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9"/>
              </w:rPr>
              <w:t>Doküman Bilgisi</w:t>
            </w:r>
          </w:p>
        </w:tc>
        <w:tc>
          <w:tcPr>
            <w:tcW w:type="dxa" w:w="696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9"/>
              </w:rPr>
              <w:t>Değer</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Doküman türü</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Yazılım kapsamı ve sistem analizi ön hazırlığı</w:t>
            </w:r>
          </w:p>
        </w:tc>
      </w:tr>
      <w:tr>
        <w:tc>
          <w:tcPr>
            <w:tcW w:type="dxa" w:w="24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Sürüm</w:t>
            </w:r>
          </w:p>
        </w:tc>
        <w:tc>
          <w:tcPr>
            <w:tcW w:type="dxa" w:w="69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v1.0</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Tarih</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23 Temmuz 2026</w:t>
            </w:r>
          </w:p>
        </w:tc>
      </w:tr>
      <w:tr>
        <w:tc>
          <w:tcPr>
            <w:tcW w:type="dxa" w:w="24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Hedef sistem</w:t>
            </w:r>
          </w:p>
        </w:tc>
        <w:tc>
          <w:tcPr>
            <w:tcW w:type="dxa" w:w="69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Logfiks</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Kapsam</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ADR • RID • IMDG • IMSBC • IBC • IGC • Grain • TDC • CTU • CSS • MARPOL • ICAO/IATA DGR</w:t>
            </w:r>
          </w:p>
        </w:tc>
      </w:tr>
      <w:tr>
        <w:tc>
          <w:tcPr>
            <w:tcW w:type="dxa" w:w="24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Durum</w:t>
            </w:r>
          </w:p>
        </w:tc>
        <w:tc>
          <w:tcPr>
            <w:tcW w:type="dxa" w:w="69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9"/>
              </w:rPr>
              <w:t>Çalışma taslağı – yazılım geliştirme görüşmelerine esas</w:t>
            </w:r>
          </w:p>
        </w:tc>
      </w:tr>
    </w:tbl>
    <w:p>
      <w:pPr>
        <w:spacing w:after="40" w:before="0"/>
      </w:pP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0B2545"/>
                <w:sz w:val="20"/>
              </w:rPr>
              <w:t xml:space="preserve">Ana yaklaşım: </w:t>
            </w:r>
            <w:r>
              <w:rPr>
                <w:rFonts w:ascii="Calibri" w:hAnsi="Calibri" w:eastAsia="Calibri"/>
                <w:color w:val="111111"/>
                <w:sz w:val="20"/>
              </w:rPr>
              <w:t>Logfiks yalnızca mevzuatı gösteren bir ekran değil; yük, miktar, ambalaj, taşıma ünitesi, rota, personel ve belge verilerini birlikte değerlendirerek gerekçeli uygunluk kararı üreten çok modlu bir operasyon ve kanıt platformu olarak tasarlanmalıdır.</w:t>
            </w:r>
          </w:p>
        </w:tc>
      </w:tr>
    </w:tbl>
    <w:p>
      <w:pPr>
        <w:spacing w:after="40"/>
      </w:pPr>
    </w:p>
    <w:p>
      <w:r>
        <w:br w:type="page"/>
      </w:r>
    </w:p>
    <w:p>
      <w:pPr>
        <w:pStyle w:val="Heading1"/>
        <w:keepNext/>
      </w:pPr>
      <w:r>
        <w:t>İçindekiler ve Doküman Yapısı</w:t>
      </w:r>
    </w:p>
    <w:p>
      <w:pPr>
        <w:spacing w:before="0" w:after="80" w:line="300" w:lineRule="auto"/>
        <w:numPr>
          <w:ilvl w:val="0"/>
          <w:numId w:val="11"/>
        </w:numPr>
      </w:pPr>
      <w:r>
        <w:rPr>
          <w:rFonts w:ascii="Calibri" w:hAnsi="Calibri" w:eastAsia="Calibri"/>
          <w:color w:val="111111"/>
        </w:rPr>
        <w:t>Yönetici Özeti ve Konumlandırma</w:t>
      </w:r>
    </w:p>
    <w:p>
      <w:pPr>
        <w:spacing w:before="0" w:after="80" w:line="300" w:lineRule="auto"/>
        <w:numPr>
          <w:ilvl w:val="0"/>
          <w:numId w:val="11"/>
        </w:numPr>
      </w:pPr>
      <w:r>
        <w:rPr>
          <w:rFonts w:ascii="Calibri" w:hAnsi="Calibri" w:eastAsia="Calibri"/>
          <w:color w:val="111111"/>
        </w:rPr>
        <w:t>Sistem Mimarisi ve Karar Akışı</w:t>
      </w:r>
    </w:p>
    <w:p>
      <w:pPr>
        <w:spacing w:before="0" w:after="80" w:line="300" w:lineRule="auto"/>
        <w:numPr>
          <w:ilvl w:val="0"/>
          <w:numId w:val="11"/>
        </w:numPr>
      </w:pPr>
      <w:r>
        <w:rPr>
          <w:rFonts w:ascii="Calibri" w:hAnsi="Calibri" w:eastAsia="Calibri"/>
          <w:color w:val="111111"/>
        </w:rPr>
        <w:t>Ortak Fonksiyonel Modüller</w:t>
      </w:r>
    </w:p>
    <w:p>
      <w:pPr>
        <w:spacing w:before="0" w:after="80" w:line="300" w:lineRule="auto"/>
        <w:numPr>
          <w:ilvl w:val="0"/>
          <w:numId w:val="11"/>
        </w:numPr>
      </w:pPr>
      <w:r>
        <w:rPr>
          <w:rFonts w:ascii="Calibri" w:hAnsi="Calibri" w:eastAsia="Calibri"/>
          <w:color w:val="111111"/>
        </w:rPr>
        <w:t>Taşıma Modu ve Kod Bazlı Modüller</w:t>
      </w:r>
    </w:p>
    <w:p>
      <w:pPr>
        <w:spacing w:before="0" w:after="80" w:line="300" w:lineRule="auto"/>
        <w:numPr>
          <w:ilvl w:val="0"/>
          <w:numId w:val="11"/>
        </w:numPr>
      </w:pPr>
      <w:r>
        <w:rPr>
          <w:rFonts w:ascii="Calibri" w:hAnsi="Calibri" w:eastAsia="Calibri"/>
          <w:color w:val="111111"/>
        </w:rPr>
        <w:t>Ortak Veri Sözlüğü</w:t>
      </w:r>
    </w:p>
    <w:p>
      <w:pPr>
        <w:spacing w:before="0" w:after="80" w:line="300" w:lineRule="auto"/>
        <w:numPr>
          <w:ilvl w:val="0"/>
          <w:numId w:val="11"/>
        </w:numPr>
      </w:pPr>
      <w:r>
        <w:rPr>
          <w:rFonts w:ascii="Calibri" w:hAnsi="Calibri" w:eastAsia="Calibri"/>
          <w:color w:val="111111"/>
        </w:rPr>
        <w:t>Kaynak Yönetimi ve Kaynak Ekleme Listesi</w:t>
      </w:r>
    </w:p>
    <w:p>
      <w:pPr>
        <w:spacing w:before="0" w:after="80" w:line="300" w:lineRule="auto"/>
        <w:numPr>
          <w:ilvl w:val="0"/>
          <w:numId w:val="11"/>
        </w:numPr>
      </w:pPr>
      <w:r>
        <w:rPr>
          <w:rFonts w:ascii="Calibri" w:hAnsi="Calibri" w:eastAsia="Calibri"/>
          <w:color w:val="111111"/>
        </w:rPr>
        <w:t>Entegrasyon, Yetkilendirme ve Kanıt Yönetimi</w:t>
      </w:r>
    </w:p>
    <w:p>
      <w:pPr>
        <w:spacing w:before="0" w:after="80" w:line="300" w:lineRule="auto"/>
        <w:numPr>
          <w:ilvl w:val="0"/>
          <w:numId w:val="11"/>
        </w:numPr>
      </w:pPr>
      <w:r>
        <w:rPr>
          <w:rFonts w:ascii="Calibri" w:hAnsi="Calibri" w:eastAsia="Calibri"/>
          <w:color w:val="111111"/>
        </w:rPr>
        <w:t>Geliştirme Fazları ve Önceliklendirme</w:t>
      </w:r>
    </w:p>
    <w:p>
      <w:pPr>
        <w:spacing w:before="0" w:after="80" w:line="300" w:lineRule="auto"/>
        <w:numPr>
          <w:ilvl w:val="0"/>
          <w:numId w:val="11"/>
        </w:numPr>
      </w:pPr>
      <w:r>
        <w:rPr>
          <w:rFonts w:ascii="Calibri" w:hAnsi="Calibri" w:eastAsia="Calibri"/>
          <w:color w:val="111111"/>
        </w:rPr>
        <w:t>Asgari Kabul Kriterleri</w:t>
      </w:r>
    </w:p>
    <w:p>
      <w:pPr>
        <w:spacing w:before="0" w:after="80" w:line="300" w:lineRule="auto"/>
        <w:numPr>
          <w:ilvl w:val="0"/>
          <w:numId w:val="11"/>
        </w:numPr>
      </w:pPr>
      <w:r>
        <w:rPr>
          <w:rFonts w:ascii="Calibri" w:hAnsi="Calibri" w:eastAsia="Calibri"/>
          <w:color w:val="111111"/>
        </w:rPr>
        <w:t>Hazırlık Sonrası Karar Gündemi</w:t>
      </w:r>
    </w:p>
    <w:p>
      <w:pPr>
        <w:spacing w:before="0" w:after="80" w:line="300" w:lineRule="auto"/>
        <w:numPr>
          <w:ilvl w:val="0"/>
          <w:numId w:val="11"/>
        </w:numPr>
      </w:pPr>
      <w:r>
        <w:rPr>
          <w:rFonts w:ascii="Calibri" w:hAnsi="Calibri" w:eastAsia="Calibri"/>
          <w:color w:val="111111"/>
        </w:rPr>
        <w:t>Ek A – Güncel Resmî Kaynaklar</w:t>
      </w:r>
    </w:p>
    <w:p>
      <w:pPr>
        <w:pStyle w:val="Heading1"/>
        <w:keepNext/>
      </w:pPr>
      <w:r>
        <w:t>1. Yönetici Özeti ve Konumlandırma</w:t>
      </w:r>
    </w:p>
    <w:p>
      <w:pPr>
        <w:spacing w:after="160" w:line="300" w:lineRule="auto"/>
      </w:pPr>
      <w:r>
        <w:rPr>
          <w:rFonts w:ascii="Calibri" w:hAnsi="Calibri" w:eastAsia="Calibri"/>
          <w:color w:val="111111"/>
          <w:sz w:val="22"/>
        </w:rPr>
        <w:t>Bu doküman, Logfiks uygulamasında karayolu, demiryolu, denizyolu ve havayolu tehlikeli yük operasyonlarını aynı veri omurgasında yönetmek amacıyla önerilen modül, veri alanı, kaynak ve entegrasyon yapısını tanımlar. Kapsam; yük kabulünden sınıflandırma ve ambalaj kontrolüne, CTU/gemi uygunluğundan belge üretimine, personel yetkinliğinden olay ve kanıt yönetimine kadar uzanır.</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2E74B5"/>
                <w:sz w:val="20"/>
              </w:rPr>
              <w:t xml:space="preserve">Stratejik karar: </w:t>
            </w:r>
            <w:r>
              <w:rPr>
                <w:rFonts w:ascii="Calibri" w:hAnsi="Calibri" w:eastAsia="Calibri"/>
                <w:color w:val="111111"/>
                <w:sz w:val="20"/>
              </w:rPr>
              <w:t>Bi’yük kullanıcı ve fırsat girişini, YükBulAraçBul ticari eşleşme ve ön veriyi; Logfiks ise doğrulanmış operasyonu, resmî bildirimi ve uygunluk kararını yönetmelidir. Tehlikeli yük modülü bu ayrımı bozmayacak şekilde Logfiks’in mevcut araç–sürücü–yük–sefer–belge omurgasına bağlanmalıdır.</w:t>
            </w:r>
          </w:p>
        </w:tc>
      </w:tr>
    </w:tbl>
    <w:p>
      <w:pPr>
        <w:spacing w:after="40"/>
      </w:pPr>
    </w:p>
    <w:p>
      <w:pPr>
        <w:spacing w:before="0" w:after="80" w:line="300" w:lineRule="auto"/>
        <w:numPr>
          <w:ilvl w:val="0"/>
          <w:numId w:val="10"/>
        </w:numPr>
      </w:pPr>
      <w:r>
        <w:rPr>
          <w:rFonts w:ascii="Calibri" w:hAnsi="Calibri" w:eastAsia="Calibri"/>
          <w:color w:val="111111"/>
        </w:rPr>
        <w:t>Uluslararası ana kurallar, ulusal uygulamalar, liman/terminal/havayolu kısıtları ve firma içi prosedürler ayrı katmanlarda tutulmalıdır.</w:t>
      </w:r>
    </w:p>
    <w:p>
      <w:pPr>
        <w:spacing w:before="0" w:after="80" w:line="300" w:lineRule="auto"/>
        <w:numPr>
          <w:ilvl w:val="0"/>
          <w:numId w:val="10"/>
        </w:numPr>
      </w:pPr>
      <w:r>
        <w:rPr>
          <w:rFonts w:ascii="Calibri" w:hAnsi="Calibri" w:eastAsia="Calibri"/>
          <w:color w:val="111111"/>
        </w:rPr>
        <w:t>Taşıma tarihi esas alınarak doğru mevzuat sürümü otomatik seçilmelidir.</w:t>
      </w:r>
    </w:p>
    <w:p>
      <w:pPr>
        <w:spacing w:before="0" w:after="80" w:line="300" w:lineRule="auto"/>
        <w:numPr>
          <w:ilvl w:val="0"/>
          <w:numId w:val="10"/>
        </w:numPr>
      </w:pPr>
      <w:r>
        <w:rPr>
          <w:rFonts w:ascii="Calibri" w:hAnsi="Calibri" w:eastAsia="Calibri"/>
          <w:color w:val="111111"/>
        </w:rPr>
        <w:t>Aynı sevkiyatın her taşıma ayağı ayrı değerlendirilirken sonuçlar tek bir multimodal dosyada birleştirilmelidir.</w:t>
      </w:r>
    </w:p>
    <w:p>
      <w:pPr>
        <w:spacing w:before="0" w:after="80" w:line="300" w:lineRule="auto"/>
        <w:numPr>
          <w:ilvl w:val="0"/>
          <w:numId w:val="10"/>
        </w:numPr>
      </w:pPr>
      <w:r>
        <w:rPr>
          <w:rFonts w:ascii="Calibri" w:hAnsi="Calibri" w:eastAsia="Calibri"/>
          <w:color w:val="111111"/>
        </w:rPr>
        <w:t>Sistem kararı mevzuat kaynağı, madde/paragraf, sürüm, kullanılan veri ve uzman onayıyla izlenebilir olmalıdır.</w:t>
      </w:r>
    </w:p>
    <w:p>
      <w:pPr>
        <w:spacing w:before="0" w:after="80" w:line="300" w:lineRule="auto"/>
        <w:numPr>
          <w:ilvl w:val="0"/>
          <w:numId w:val="10"/>
        </w:numPr>
      </w:pPr>
      <w:r>
        <w:rPr>
          <w:rFonts w:ascii="Calibri" w:hAnsi="Calibri" w:eastAsia="Calibri"/>
          <w:color w:val="111111"/>
        </w:rPr>
        <w:t>Yapay zekâ öneri ve veri kalitesi desteği sağlayabilir; nihai mevzuat kuralı sürümlenmiş ve test edilmiş karar motorunda çalışmalıdır.</w:t>
      </w:r>
    </w:p>
    <w:p>
      <w:pPr>
        <w:pStyle w:val="Heading1"/>
        <w:keepNext/>
      </w:pPr>
      <w:r>
        <w:t>2. Sistem Mimarisi ve Karar Akışı</w:t>
      </w:r>
    </w:p>
    <w:p>
      <w:pPr>
        <w:spacing w:after="160" w:line="300" w:lineRule="auto"/>
      </w:pPr>
      <w:r>
        <w:rPr>
          <w:rFonts w:ascii="Calibri" w:hAnsi="Calibri" w:eastAsia="Calibri"/>
          <w:color w:val="111111"/>
          <w:sz w:val="22"/>
        </w:rPr>
        <w:t>Karar akışı, operasyon verisinin mevzuat uygulanabilirliğiyle eşleştirilmesi ve her zorunluluğun kanıtlanması üzerine kurulmalıdır.</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720"/>
        <w:gridCol w:w="2000"/>
        <w:gridCol w:w="6640"/>
      </w:tblGrid>
      <w:tr>
        <w:trPr>
          <w:tblHeader w:val="true"/>
        </w:trPr>
        <w:tc>
          <w:tcPr>
            <w:tcW w:type="dxa" w:w="72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Adım</w:t>
            </w:r>
          </w:p>
        </w:tc>
        <w:tc>
          <w:tcPr>
            <w:tcW w:type="dxa" w:w="20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Katman</w:t>
            </w:r>
          </w:p>
        </w:tc>
        <w:tc>
          <w:tcPr>
            <w:tcW w:type="dxa" w:w="664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İşlev</w:t>
            </w:r>
          </w:p>
        </w:tc>
      </w:tr>
      <w:tr>
        <w:tc>
          <w:tcPr>
            <w:tcW w:type="dxa" w:w="72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8"/>
              </w:rPr>
              <w:t>1</w:t>
            </w:r>
          </w:p>
        </w:tc>
        <w:tc>
          <w:tcPr>
            <w:tcW w:type="dxa" w:w="20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Veri Toplama</w:t>
            </w:r>
          </w:p>
        </w:tc>
        <w:tc>
          <w:tcPr>
            <w:tcW w:type="dxa" w:w="664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Yük, miktar, ambalaj, CTU/araç/vagon/gemi/uçak, rota, taraf ve personel verilerinin alınması</w:t>
            </w:r>
          </w:p>
        </w:tc>
      </w:tr>
      <w:tr>
        <w:tc>
          <w:tcPr>
            <w:tcW w:type="dxa" w:w="72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8"/>
              </w:rPr>
              <w:t>2</w:t>
            </w:r>
          </w:p>
        </w:tc>
        <w:tc>
          <w:tcPr>
            <w:tcW w:type="dxa" w:w="20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Uygulanabilirlik</w:t>
            </w:r>
          </w:p>
        </w:tc>
        <w:tc>
          <w:tcPr>
            <w:tcW w:type="dxa" w:w="664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Taşıma ayağı, ülke, tarih, operatör ve yük formuna göre yürürlükteki kural setlerinin seçilmesi</w:t>
            </w:r>
          </w:p>
        </w:tc>
      </w:tr>
      <w:tr>
        <w:tc>
          <w:tcPr>
            <w:tcW w:type="dxa" w:w="72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8"/>
              </w:rPr>
              <w:t>3</w:t>
            </w:r>
          </w:p>
        </w:tc>
        <w:tc>
          <w:tcPr>
            <w:tcW w:type="dxa" w:w="20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Kontrol</w:t>
            </w:r>
          </w:p>
        </w:tc>
        <w:tc>
          <w:tcPr>
            <w:tcW w:type="dxa" w:w="664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Sınıflandırma, miktar, ambalaj, işaret, segregasyon, ekipman, rota, yetkinlik ve belge kontrolleri</w:t>
            </w:r>
          </w:p>
        </w:tc>
      </w:tr>
      <w:tr>
        <w:tc>
          <w:tcPr>
            <w:tcW w:type="dxa" w:w="72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8"/>
              </w:rPr>
              <w:t>4</w:t>
            </w:r>
          </w:p>
        </w:tc>
        <w:tc>
          <w:tcPr>
            <w:tcW w:type="dxa" w:w="20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Karar</w:t>
            </w:r>
          </w:p>
        </w:tc>
        <w:tc>
          <w:tcPr>
            <w:tcW w:type="dxa" w:w="664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UYGUN, KOŞULLU UYGUN, EKSİK VERİ, UZMAN İNCELEMESİ, YETKİLİ MAKAM ONAYI, TAŞIMA YASAK veya STOP_WORK</w:t>
            </w:r>
          </w:p>
        </w:tc>
      </w:tr>
      <w:tr>
        <w:tc>
          <w:tcPr>
            <w:tcW w:type="dxa" w:w="72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8"/>
              </w:rPr>
              <w:t>5</w:t>
            </w:r>
          </w:p>
        </w:tc>
        <w:tc>
          <w:tcPr>
            <w:tcW w:type="dxa" w:w="20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Operasyon ve Kanıt</w:t>
            </w:r>
          </w:p>
        </w:tc>
        <w:tc>
          <w:tcPr>
            <w:tcW w:type="dxa" w:w="664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Belge üretimi, bildirim, onay, saha kontrolü, fotoğraf/sensör kanıtı ve denetim izi</w:t>
            </w:r>
          </w:p>
        </w:tc>
      </w:tr>
    </w:tbl>
    <w:p>
      <w:pPr>
        <w:spacing w:after="40" w:before="0"/>
      </w:pPr>
    </w:p>
    <w:p>
      <w:pPr>
        <w:pStyle w:val="Heading2"/>
        <w:keepNext/>
      </w:pPr>
      <w:r>
        <w:t>2.1. Karar Statüleri</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2400"/>
        <w:gridCol w:w="6960"/>
      </w:tblGrid>
      <w:tr>
        <w:trPr>
          <w:tblHeader w:val="true"/>
        </w:trPr>
        <w:tc>
          <w:tcPr>
            <w:tcW w:type="dxa" w:w="24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Statü</w:t>
            </w:r>
          </w:p>
        </w:tc>
        <w:tc>
          <w:tcPr>
            <w:tcW w:type="dxa" w:w="696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Tanım</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UYGUN</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Tüm zorunlu kontroller tamamlandı ve kanıtlandı.</w:t>
            </w:r>
          </w:p>
        </w:tc>
      </w:tr>
      <w:tr>
        <w:tc>
          <w:tcPr>
            <w:tcW w:type="dxa" w:w="24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KOŞULLU UYGUN</w:t>
            </w:r>
          </w:p>
        </w:tc>
        <w:tc>
          <w:tcPr>
            <w:tcW w:type="dxa" w:w="69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Belirli koşullar tamamlandığında taşıma yapılabilir.</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EKSİK VERİ</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Karar için zorunlu alan veya belge bulunmuyor.</w:t>
            </w:r>
          </w:p>
        </w:tc>
      </w:tr>
      <w:tr>
        <w:tc>
          <w:tcPr>
            <w:tcW w:type="dxa" w:w="24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UZMAN İNCELEMESİ</w:t>
            </w:r>
          </w:p>
        </w:tc>
        <w:tc>
          <w:tcPr>
            <w:tcW w:type="dxa" w:w="69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Yorum, sınıflandırma veya kural çatışması uzman değerlendirmesi gerektiriyor.</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YETKİLİ MAKAM ONAYI</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İstisna, onay veya özel izin gereklidir.</w:t>
            </w:r>
          </w:p>
        </w:tc>
      </w:tr>
      <w:tr>
        <w:tc>
          <w:tcPr>
            <w:tcW w:type="dxa" w:w="24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TAŞIMA YASAK</w:t>
            </w:r>
          </w:p>
        </w:tc>
        <w:tc>
          <w:tcPr>
            <w:tcW w:type="dxa" w:w="69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İlgili mod, rota, uçak/gemi/araç veya koşul altında taşıma kabul edilemez.</w:t>
            </w:r>
          </w:p>
        </w:tc>
      </w:tr>
      <w:tr>
        <w:tc>
          <w:tcPr>
            <w:tcW w:type="dxa" w:w="24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STOP_WORK</w:t>
            </w:r>
          </w:p>
        </w:tc>
        <w:tc>
          <w:tcPr>
            <w:tcW w:type="dxa" w:w="69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Operasyon başlatılamaz veya devam eden işlem durdurulmalıdır.</w:t>
            </w:r>
          </w:p>
        </w:tc>
      </w:tr>
    </w:tbl>
    <w:p>
      <w:pPr>
        <w:spacing w:after="40" w:before="0"/>
      </w:pPr>
    </w:p>
    <w:p>
      <w:pPr>
        <w:pStyle w:val="Heading1"/>
        <w:keepNext/>
      </w:pPr>
      <w:r>
        <w:t>3. Ortak Fonksiyonel Modüller</w:t>
      </w:r>
    </w:p>
    <w:p>
      <w:pPr>
        <w:pStyle w:val="Heading2"/>
        <w:keepNext/>
      </w:pPr>
      <w:r>
        <w:t>3.1. Çok Modlu Mevzuat Belirleme</w:t>
      </w:r>
    </w:p>
    <w:p>
      <w:pPr>
        <w:spacing w:before="0" w:after="80" w:line="300" w:lineRule="auto"/>
        <w:numPr>
          <w:ilvl w:val="0"/>
          <w:numId w:val="10"/>
        </w:numPr>
      </w:pPr>
      <w:r>
        <w:rPr>
          <w:rFonts w:ascii="Calibri" w:hAnsi="Calibri" w:eastAsia="Calibri"/>
          <w:color w:val="111111"/>
        </w:rPr>
        <w:t>Taşıma ayaklarının kara, demir, deniz ve hava olarak modellenmesi</w:t>
      </w:r>
    </w:p>
    <w:p>
      <w:pPr>
        <w:spacing w:before="0" w:after="80" w:line="300" w:lineRule="auto"/>
        <w:numPr>
          <w:ilvl w:val="0"/>
          <w:numId w:val="10"/>
        </w:numPr>
      </w:pPr>
      <w:r>
        <w:rPr>
          <w:rFonts w:ascii="Calibri" w:hAnsi="Calibri" w:eastAsia="Calibri"/>
          <w:color w:val="111111"/>
        </w:rPr>
        <w:t>Yükün paketli, katı dökme, sıvı dökme, sıvılaştırılmış gaz, tahıl veya güverte kerestesi olarak ayrılması</w:t>
      </w:r>
    </w:p>
    <w:p>
      <w:pPr>
        <w:spacing w:before="0" w:after="80" w:line="300" w:lineRule="auto"/>
        <w:numPr>
          <w:ilvl w:val="0"/>
          <w:numId w:val="10"/>
        </w:numPr>
      </w:pPr>
      <w:r>
        <w:rPr>
          <w:rFonts w:ascii="Calibri" w:hAnsi="Calibri" w:eastAsia="Calibri"/>
          <w:color w:val="111111"/>
        </w:rPr>
        <w:t>Transit ülke, liman, terminal, istasyon, havaalanı ve operatör kısıtlarının seçilmesi</w:t>
      </w:r>
    </w:p>
    <w:p>
      <w:pPr>
        <w:spacing w:before="0" w:after="80" w:line="300" w:lineRule="auto"/>
        <w:numPr>
          <w:ilvl w:val="0"/>
          <w:numId w:val="10"/>
        </w:numPr>
      </w:pPr>
      <w:r>
        <w:rPr>
          <w:rFonts w:ascii="Calibri" w:hAnsi="Calibri" w:eastAsia="Calibri"/>
          <w:color w:val="111111"/>
        </w:rPr>
        <w:t>Taşıma tarihine göre yürürlükteki mevzuat ve geçiş hükmünün uygulanması</w:t>
      </w:r>
    </w:p>
    <w:p>
      <w:pPr>
        <w:spacing w:before="0" w:after="80" w:line="300" w:lineRule="auto"/>
        <w:numPr>
          <w:ilvl w:val="0"/>
          <w:numId w:val="10"/>
        </w:numPr>
      </w:pPr>
      <w:r>
        <w:rPr>
          <w:rFonts w:ascii="Calibri" w:hAnsi="Calibri" w:eastAsia="Calibri"/>
          <w:color w:val="111111"/>
        </w:rPr>
        <w:t>Birden fazla kuralın eşzamanlı uygulanması halinde çatışma ve manuel inceleme yönetimi</w:t>
      </w:r>
    </w:p>
    <w:p>
      <w:pPr>
        <w:pStyle w:val="Heading2"/>
        <w:keepNext/>
      </w:pPr>
      <w:r>
        <w:t>3.2. Tehlikeli Yük Sınıflandırma</w:t>
      </w:r>
    </w:p>
    <w:p>
      <w:pPr>
        <w:spacing w:before="0" w:after="80" w:line="300" w:lineRule="auto"/>
        <w:numPr>
          <w:ilvl w:val="0"/>
          <w:numId w:val="10"/>
        </w:numPr>
      </w:pPr>
      <w:r>
        <w:rPr>
          <w:rFonts w:ascii="Calibri" w:hAnsi="Calibri" w:eastAsia="Calibri"/>
          <w:color w:val="111111"/>
        </w:rPr>
        <w:t>UN numarası, uygun taşıma adı, teknik ad, sınıf/bölüm ve tali tehlikeler</w:t>
      </w:r>
    </w:p>
    <w:p>
      <w:pPr>
        <w:spacing w:before="0" w:after="80" w:line="300" w:lineRule="auto"/>
        <w:numPr>
          <w:ilvl w:val="0"/>
          <w:numId w:val="10"/>
        </w:numPr>
      </w:pPr>
      <w:r>
        <w:rPr>
          <w:rFonts w:ascii="Calibri" w:hAnsi="Calibri" w:eastAsia="Calibri"/>
          <w:color w:val="111111"/>
        </w:rPr>
        <w:t>Ambalajlama grubu, ADR/RID sınıflandırma kodu ve özel hükümler</w:t>
      </w:r>
    </w:p>
    <w:p>
      <w:pPr>
        <w:spacing w:before="0" w:after="80" w:line="300" w:lineRule="auto"/>
        <w:numPr>
          <w:ilvl w:val="0"/>
          <w:numId w:val="10"/>
        </w:numPr>
      </w:pPr>
      <w:r>
        <w:rPr>
          <w:rFonts w:ascii="Calibri" w:hAnsi="Calibri" w:eastAsia="Calibri"/>
          <w:color w:val="111111"/>
        </w:rPr>
        <w:t>Deniz kirletici, çevre için tehlikeli, atık, stabilize edilmiş veya sıcaklık kontrollü durum</w:t>
      </w:r>
    </w:p>
    <w:p>
      <w:pPr>
        <w:spacing w:before="0" w:after="80" w:line="300" w:lineRule="auto"/>
        <w:numPr>
          <w:ilvl w:val="0"/>
          <w:numId w:val="10"/>
        </w:numPr>
      </w:pPr>
      <w:r>
        <w:rPr>
          <w:rFonts w:ascii="Calibri" w:hAnsi="Calibri" w:eastAsia="Calibri"/>
          <w:color w:val="111111"/>
        </w:rPr>
        <w:t>Parlama noktası, fiziksel durum, bileşim ve SDS Bölüm 14 karşılaştırması</w:t>
      </w:r>
    </w:p>
    <w:p>
      <w:pPr>
        <w:spacing w:before="0" w:after="80" w:line="300" w:lineRule="auto"/>
        <w:numPr>
          <w:ilvl w:val="0"/>
          <w:numId w:val="10"/>
        </w:numPr>
      </w:pPr>
      <w:r>
        <w:rPr>
          <w:rFonts w:ascii="Calibri" w:hAnsi="Calibri" w:eastAsia="Calibri"/>
          <w:color w:val="111111"/>
        </w:rPr>
        <w:t>Modlar arasındaki sınıflandırma ve taşıma adı farklarının gösterilmesi</w:t>
      </w:r>
    </w:p>
    <w:p>
      <w:pPr>
        <w:pStyle w:val="Heading2"/>
        <w:keepNext/>
      </w:pPr>
      <w:r>
        <w:t>3.3. Ambalaj, IBC, Tank ve Muhafaza Sistemi</w:t>
      </w:r>
    </w:p>
    <w:p>
      <w:pPr>
        <w:spacing w:before="0" w:after="80" w:line="300" w:lineRule="auto"/>
        <w:numPr>
          <w:ilvl w:val="0"/>
          <w:numId w:val="10"/>
        </w:numPr>
      </w:pPr>
      <w:r>
        <w:rPr>
          <w:rFonts w:ascii="Calibri" w:hAnsi="Calibri" w:eastAsia="Calibri"/>
          <w:color w:val="111111"/>
        </w:rPr>
        <w:t>Ambalajlama/portatif tank talimatı ve özel hükümler</w:t>
      </w:r>
    </w:p>
    <w:p>
      <w:pPr>
        <w:spacing w:before="0" w:after="80" w:line="300" w:lineRule="auto"/>
        <w:numPr>
          <w:ilvl w:val="0"/>
          <w:numId w:val="10"/>
        </w:numPr>
      </w:pPr>
      <w:r>
        <w:rPr>
          <w:rFonts w:ascii="Calibri" w:hAnsi="Calibri" w:eastAsia="Calibri"/>
          <w:color w:val="111111"/>
        </w:rPr>
        <w:t>UN ambalaj kodu, test seviyesi, üretici, tip onayı ve kapatma talimatı</w:t>
      </w:r>
    </w:p>
    <w:p>
      <w:pPr>
        <w:spacing w:before="0" w:after="80" w:line="300" w:lineRule="auto"/>
        <w:numPr>
          <w:ilvl w:val="0"/>
          <w:numId w:val="10"/>
        </w:numPr>
      </w:pPr>
      <w:r>
        <w:rPr>
          <w:rFonts w:ascii="Calibri" w:hAnsi="Calibri" w:eastAsia="Calibri"/>
          <w:color w:val="111111"/>
        </w:rPr>
        <w:t>İç/dış ambalaj, overpack, kurtarma ambalajı ve boş temizlenmemiş ambalaj</w:t>
      </w:r>
    </w:p>
    <w:p>
      <w:pPr>
        <w:spacing w:before="0" w:after="80" w:line="300" w:lineRule="auto"/>
        <w:numPr>
          <w:ilvl w:val="0"/>
          <w:numId w:val="10"/>
        </w:numPr>
      </w:pPr>
      <w:r>
        <w:rPr>
          <w:rFonts w:ascii="Calibri" w:hAnsi="Calibri" w:eastAsia="Calibri"/>
          <w:color w:val="111111"/>
        </w:rPr>
        <w:t>IBC, büyük ambalaj, portatif tank, tank konteyneri, MEGC ve tank muayene tarihleri</w:t>
      </w:r>
    </w:p>
    <w:p>
      <w:pPr>
        <w:spacing w:before="0" w:after="80" w:line="300" w:lineRule="auto"/>
        <w:numPr>
          <w:ilvl w:val="0"/>
          <w:numId w:val="10"/>
        </w:numPr>
      </w:pPr>
      <w:r>
        <w:rPr>
          <w:rFonts w:ascii="Calibri" w:hAnsi="Calibri" w:eastAsia="Calibri"/>
          <w:color w:val="111111"/>
        </w:rPr>
        <w:t>Ambalaj ve sertifika fotoğrafı üzerinden saha doğrulaması</w:t>
      </w:r>
    </w:p>
    <w:p>
      <w:pPr>
        <w:pStyle w:val="Heading2"/>
        <w:keepNext/>
      </w:pPr>
      <w:r>
        <w:t>3.4. İşaretleme, Etiketleme ve Plakalama</w:t>
      </w:r>
    </w:p>
    <w:p>
      <w:pPr>
        <w:spacing w:before="0" w:after="80" w:line="300" w:lineRule="auto"/>
        <w:numPr>
          <w:ilvl w:val="0"/>
          <w:numId w:val="10"/>
        </w:numPr>
      </w:pPr>
      <w:r>
        <w:rPr>
          <w:rFonts w:ascii="Calibri" w:hAnsi="Calibri" w:eastAsia="Calibri"/>
          <w:color w:val="111111"/>
        </w:rPr>
        <w:t>Paket işaretleri, tehlike etiketleri, yön okları, çevre ve deniz kirletici işaretleri</w:t>
      </w:r>
    </w:p>
    <w:p>
      <w:pPr>
        <w:spacing w:before="0" w:after="80" w:line="300" w:lineRule="auto"/>
        <w:numPr>
          <w:ilvl w:val="0"/>
          <w:numId w:val="10"/>
        </w:numPr>
      </w:pPr>
      <w:r>
        <w:rPr>
          <w:rFonts w:ascii="Calibri" w:hAnsi="Calibri" w:eastAsia="Calibri"/>
          <w:color w:val="111111"/>
        </w:rPr>
        <w:t>Lityum/sodyum batarya, aşırı paket, yüksek sıcaklık ve fumigasyon işaretleri</w:t>
      </w:r>
    </w:p>
    <w:p>
      <w:pPr>
        <w:spacing w:before="0" w:after="80" w:line="300" w:lineRule="auto"/>
        <w:numPr>
          <w:ilvl w:val="0"/>
          <w:numId w:val="10"/>
        </w:numPr>
      </w:pPr>
      <w:r>
        <w:rPr>
          <w:rFonts w:ascii="Calibri" w:hAnsi="Calibri" w:eastAsia="Calibri"/>
          <w:color w:val="111111"/>
        </w:rPr>
        <w:t>Araç, vagon, konteyner ve tank plakaları ile turuncu plaka kontrolleri</w:t>
      </w:r>
    </w:p>
    <w:p>
      <w:pPr>
        <w:spacing w:before="0" w:after="80" w:line="300" w:lineRule="auto"/>
        <w:numPr>
          <w:ilvl w:val="0"/>
          <w:numId w:val="10"/>
        </w:numPr>
      </w:pPr>
      <w:r>
        <w:rPr>
          <w:rFonts w:ascii="Calibri" w:hAnsi="Calibri" w:eastAsia="Calibri"/>
          <w:color w:val="111111"/>
        </w:rPr>
        <w:t>Mod ve miktara göre otomatik görsel kontrol listesi</w:t>
      </w:r>
    </w:p>
    <w:p>
      <w:pPr>
        <w:pStyle w:val="Heading2"/>
        <w:keepNext/>
      </w:pPr>
      <w:r>
        <w:t>3.5. Uyumluluk, Segregasyon ve Yükleme</w:t>
      </w:r>
    </w:p>
    <w:p>
      <w:pPr>
        <w:spacing w:before="0" w:after="80" w:line="300" w:lineRule="auto"/>
        <w:numPr>
          <w:ilvl w:val="0"/>
          <w:numId w:val="10"/>
        </w:numPr>
      </w:pPr>
      <w:r>
        <w:rPr>
          <w:rFonts w:ascii="Calibri" w:hAnsi="Calibri" w:eastAsia="Calibri"/>
          <w:color w:val="111111"/>
        </w:rPr>
        <w:t>Aynı paket, overpack, araç, vagon, CTU, ambar veya uçakta birlikte taşıma kontrolü</w:t>
      </w:r>
    </w:p>
    <w:p>
      <w:pPr>
        <w:spacing w:before="0" w:after="80" w:line="300" w:lineRule="auto"/>
        <w:numPr>
          <w:ilvl w:val="0"/>
          <w:numId w:val="10"/>
        </w:numPr>
      </w:pPr>
      <w:r>
        <w:rPr>
          <w:rFonts w:ascii="Calibri" w:hAnsi="Calibri" w:eastAsia="Calibri"/>
          <w:color w:val="111111"/>
        </w:rPr>
        <w:t>IMDG segregasyon tablosu ve segregasyon grupları</w:t>
      </w:r>
    </w:p>
    <w:p>
      <w:pPr>
        <w:spacing w:before="0" w:after="80" w:line="300" w:lineRule="auto"/>
        <w:numPr>
          <w:ilvl w:val="0"/>
          <w:numId w:val="10"/>
        </w:numPr>
      </w:pPr>
      <w:r>
        <w:rPr>
          <w:rFonts w:ascii="Calibri" w:hAnsi="Calibri" w:eastAsia="Calibri"/>
          <w:color w:val="111111"/>
        </w:rPr>
        <w:t>Patlayıcı uyumluluk grupları; gıda ve yemlerden ayırma</w:t>
      </w:r>
    </w:p>
    <w:p>
      <w:pPr>
        <w:spacing w:before="0" w:after="80" w:line="300" w:lineRule="auto"/>
        <w:numPr>
          <w:ilvl w:val="0"/>
          <w:numId w:val="10"/>
        </w:numPr>
      </w:pPr>
      <w:r>
        <w:rPr>
          <w:rFonts w:ascii="Calibri" w:hAnsi="Calibri" w:eastAsia="Calibri"/>
          <w:color w:val="111111"/>
        </w:rPr>
        <w:t>IMSBC dökme yük–paketli tehlikeli yük ilişkisi</w:t>
      </w:r>
    </w:p>
    <w:p>
      <w:pPr>
        <w:spacing w:before="0" w:after="80" w:line="300" w:lineRule="auto"/>
        <w:numPr>
          <w:ilvl w:val="0"/>
          <w:numId w:val="10"/>
        </w:numPr>
      </w:pPr>
      <w:r>
        <w:rPr>
          <w:rFonts w:ascii="Calibri" w:hAnsi="Calibri" w:eastAsia="Calibri"/>
          <w:color w:val="111111"/>
        </w:rPr>
        <w:t>Tank malzemesi/kaplaması ve kimyasal uyumluluk</w:t>
      </w:r>
    </w:p>
    <w:p>
      <w:pPr>
        <w:pStyle w:val="Heading2"/>
        <w:keepNext/>
      </w:pPr>
      <w:r>
        <w:t>3.6. Belge Üretimi ve Doğrulama</w:t>
      </w:r>
    </w:p>
    <w:p>
      <w:pPr>
        <w:spacing w:before="0" w:after="80" w:line="300" w:lineRule="auto"/>
        <w:numPr>
          <w:ilvl w:val="0"/>
          <w:numId w:val="10"/>
        </w:numPr>
      </w:pPr>
      <w:r>
        <w:rPr>
          <w:rFonts w:ascii="Calibri" w:hAnsi="Calibri" w:eastAsia="Calibri"/>
          <w:color w:val="111111"/>
        </w:rPr>
        <w:t>ADR/RID taşıma belgesi ve multimodal tehlikeli yük formu</w:t>
      </w:r>
    </w:p>
    <w:p>
      <w:pPr>
        <w:spacing w:before="0" w:after="80" w:line="300" w:lineRule="auto"/>
        <w:numPr>
          <w:ilvl w:val="0"/>
          <w:numId w:val="10"/>
        </w:numPr>
      </w:pPr>
      <w:r>
        <w:rPr>
          <w:rFonts w:ascii="Calibri" w:hAnsi="Calibri" w:eastAsia="Calibri"/>
          <w:color w:val="111111"/>
        </w:rPr>
        <w:t>Container/Vehicle Packing Certificate, IMDG DGD ve liman bildirimleri</w:t>
      </w:r>
    </w:p>
    <w:p>
      <w:pPr>
        <w:spacing w:before="0" w:after="80" w:line="300" w:lineRule="auto"/>
        <w:numPr>
          <w:ilvl w:val="0"/>
          <w:numId w:val="10"/>
        </w:numPr>
      </w:pPr>
      <w:r>
        <w:rPr>
          <w:rFonts w:ascii="Calibri" w:hAnsi="Calibri" w:eastAsia="Calibri"/>
          <w:color w:val="111111"/>
        </w:rPr>
        <w:t>IATA Shipper’s Declaration ve Air Waybill beyanları</w:t>
      </w:r>
    </w:p>
    <w:p>
      <w:pPr>
        <w:spacing w:before="0" w:after="80" w:line="300" w:lineRule="auto"/>
        <w:numPr>
          <w:ilvl w:val="0"/>
          <w:numId w:val="10"/>
        </w:numPr>
      </w:pPr>
      <w:r>
        <w:rPr>
          <w:rFonts w:ascii="Calibri" w:hAnsi="Calibri" w:eastAsia="Calibri"/>
          <w:color w:val="111111"/>
        </w:rPr>
        <w:t>IMSBC yük bilgi formu, TML/nem sertifikaları, DBA/VGM ve fumigasyon belgeleri</w:t>
      </w:r>
    </w:p>
    <w:p>
      <w:pPr>
        <w:spacing w:before="0" w:after="80" w:line="300" w:lineRule="auto"/>
        <w:numPr>
          <w:ilvl w:val="0"/>
          <w:numId w:val="10"/>
        </w:numPr>
      </w:pPr>
      <w:r>
        <w:rPr>
          <w:rFonts w:ascii="Calibri" w:hAnsi="Calibri" w:eastAsia="Calibri"/>
          <w:color w:val="111111"/>
        </w:rPr>
        <w:t>Yetkili makam onayı, istisna, tank/ambalaj test sertifikaları ve elektronik imza</w:t>
      </w:r>
    </w:p>
    <w:p>
      <w:pPr>
        <w:pStyle w:val="Heading2"/>
        <w:keepNext/>
      </w:pPr>
      <w:r>
        <w:t>3.7. Personel, Görev ve Yetkinlik</w:t>
      </w:r>
    </w:p>
    <w:p>
      <w:pPr>
        <w:spacing w:before="0" w:after="80" w:line="300" w:lineRule="auto"/>
        <w:numPr>
          <w:ilvl w:val="0"/>
          <w:numId w:val="10"/>
        </w:numPr>
      </w:pPr>
      <w:r>
        <w:rPr>
          <w:rFonts w:ascii="Calibri" w:hAnsi="Calibri" w:eastAsia="Calibri"/>
          <w:color w:val="111111"/>
        </w:rPr>
        <w:t>Gönderici, paketleyici, yükleyen, dolduran, taşıyıcı, boşaltan ve alıcı rolleri</w:t>
      </w:r>
    </w:p>
    <w:p>
      <w:pPr>
        <w:spacing w:before="0" w:after="80" w:line="300" w:lineRule="auto"/>
        <w:numPr>
          <w:ilvl w:val="0"/>
          <w:numId w:val="10"/>
        </w:numPr>
      </w:pPr>
      <w:r>
        <w:rPr>
          <w:rFonts w:ascii="Calibri" w:hAnsi="Calibri" w:eastAsia="Calibri"/>
          <w:color w:val="111111"/>
        </w:rPr>
        <w:t>Sürücü, demiryolu personeli, liman/gemi personeli ve hava kargo kabul görevlileri</w:t>
      </w:r>
    </w:p>
    <w:p>
      <w:pPr>
        <w:spacing w:before="0" w:after="80" w:line="300" w:lineRule="auto"/>
        <w:numPr>
          <w:ilvl w:val="0"/>
          <w:numId w:val="10"/>
        </w:numPr>
      </w:pPr>
      <w:r>
        <w:rPr>
          <w:rFonts w:ascii="Calibri" w:hAnsi="Calibri" w:eastAsia="Calibri"/>
          <w:color w:val="111111"/>
        </w:rPr>
        <w:t>TMGD, DGY/TYDGY, gözetim uzmanı, eğitmen ve onaylayan yönetici</w:t>
      </w:r>
    </w:p>
    <w:p>
      <w:pPr>
        <w:spacing w:before="0" w:after="80" w:line="300" w:lineRule="auto"/>
        <w:numPr>
          <w:ilvl w:val="0"/>
          <w:numId w:val="10"/>
        </w:numPr>
      </w:pPr>
      <w:r>
        <w:rPr>
          <w:rFonts w:ascii="Calibri" w:hAnsi="Calibri" w:eastAsia="Calibri"/>
          <w:color w:val="111111"/>
        </w:rPr>
        <w:t>Eğitim, sertifika, kapsam, geçerlilik, sınav ve görev yapabilme kontrolü</w:t>
      </w:r>
    </w:p>
    <w:p>
      <w:pPr>
        <w:spacing w:before="0" w:after="80" w:line="300" w:lineRule="auto"/>
        <w:numPr>
          <w:ilvl w:val="0"/>
          <w:numId w:val="10"/>
        </w:numPr>
      </w:pPr>
      <w:r>
        <w:rPr>
          <w:rFonts w:ascii="Calibri" w:hAnsi="Calibri" w:eastAsia="Calibri"/>
          <w:color w:val="111111"/>
        </w:rPr>
        <w:t>Yetkinlik eksiğinin 3E Akademi eğitim planlama modülüne aktarılması</w:t>
      </w:r>
    </w:p>
    <w:p>
      <w:pPr>
        <w:pStyle w:val="Heading2"/>
        <w:keepNext/>
      </w:pPr>
      <w:r>
        <w:t>3.8. Olay, Acil Durum ve Uygunsuzluk</w:t>
      </w:r>
    </w:p>
    <w:p>
      <w:pPr>
        <w:spacing w:before="0" w:after="80" w:line="300" w:lineRule="auto"/>
        <w:numPr>
          <w:ilvl w:val="0"/>
          <w:numId w:val="10"/>
        </w:numPr>
      </w:pPr>
      <w:r>
        <w:rPr>
          <w:rFonts w:ascii="Calibri" w:hAnsi="Calibri" w:eastAsia="Calibri"/>
          <w:color w:val="111111"/>
        </w:rPr>
        <w:t>Sızıntı, dökülme, yangın, termal kaçak, yanlış beyan ve ambalaj hasarı</w:t>
      </w:r>
    </w:p>
    <w:p>
      <w:pPr>
        <w:spacing w:before="0" w:after="80" w:line="300" w:lineRule="auto"/>
        <w:numPr>
          <w:ilvl w:val="0"/>
          <w:numId w:val="10"/>
        </w:numPr>
      </w:pPr>
      <w:r>
        <w:rPr>
          <w:rFonts w:ascii="Calibri" w:hAnsi="Calibri" w:eastAsia="Calibri"/>
          <w:color w:val="111111"/>
        </w:rPr>
        <w:t>Segregasyon/yükleme ihlali, araç-vagon-CTU hasarı ve yük kaybı</w:t>
      </w:r>
    </w:p>
    <w:p>
      <w:pPr>
        <w:spacing w:before="0" w:after="80" w:line="300" w:lineRule="auto"/>
        <w:numPr>
          <w:ilvl w:val="0"/>
          <w:numId w:val="10"/>
        </w:numPr>
      </w:pPr>
      <w:r>
        <w:rPr>
          <w:rFonts w:ascii="Calibri" w:hAnsi="Calibri" w:eastAsia="Calibri"/>
          <w:color w:val="111111"/>
        </w:rPr>
        <w:t>EmS, MFAG ve diğer acil müdahale referanslarının çağrılması</w:t>
      </w:r>
    </w:p>
    <w:p>
      <w:pPr>
        <w:spacing w:before="0" w:after="80" w:line="300" w:lineRule="auto"/>
        <w:numPr>
          <w:ilvl w:val="0"/>
          <w:numId w:val="10"/>
        </w:numPr>
      </w:pPr>
      <w:r>
        <w:rPr>
          <w:rFonts w:ascii="Calibri" w:hAnsi="Calibri" w:eastAsia="Calibri"/>
          <w:color w:val="111111"/>
        </w:rPr>
        <w:t>Kök neden, düzeltici/önleyici faaliyet, resmî bildirim ve kapanış takibi</w:t>
      </w:r>
    </w:p>
    <w:p>
      <w:pPr>
        <w:spacing w:before="0" w:after="80" w:line="300" w:lineRule="auto"/>
        <w:numPr>
          <w:ilvl w:val="0"/>
          <w:numId w:val="10"/>
        </w:numPr>
      </w:pPr>
      <w:r>
        <w:rPr>
          <w:rFonts w:ascii="Calibri" w:hAnsi="Calibri" w:eastAsia="Calibri"/>
          <w:color w:val="111111"/>
        </w:rPr>
        <w:t>Fotoğraf, video, sensör, konum ve zaman damgalı kanıt</w:t>
      </w:r>
    </w:p>
    <w:p>
      <w:pPr>
        <w:pStyle w:val="Heading2"/>
        <w:keepNext/>
      </w:pPr>
      <w:r>
        <w:t>3.9. Kaynak, Sürüm ve Değişiklik Yönetimi</w:t>
      </w:r>
    </w:p>
    <w:p>
      <w:pPr>
        <w:spacing w:before="0" w:after="80" w:line="300" w:lineRule="auto"/>
        <w:numPr>
          <w:ilvl w:val="0"/>
          <w:numId w:val="10"/>
        </w:numPr>
      </w:pPr>
      <w:r>
        <w:rPr>
          <w:rFonts w:ascii="Calibri" w:hAnsi="Calibri" w:eastAsia="Calibri"/>
          <w:color w:val="111111"/>
        </w:rPr>
        <w:t>Kaynağın düzenleyen kurumu, yargı alanı, sürümü ve yürürlük tarihlerinin tutulması</w:t>
      </w:r>
    </w:p>
    <w:p>
      <w:pPr>
        <w:spacing w:before="0" w:after="80" w:line="300" w:lineRule="auto"/>
        <w:numPr>
          <w:ilvl w:val="0"/>
          <w:numId w:val="10"/>
        </w:numPr>
      </w:pPr>
      <w:r>
        <w:rPr>
          <w:rFonts w:ascii="Calibri" w:hAnsi="Calibri" w:eastAsia="Calibri"/>
          <w:color w:val="111111"/>
        </w:rPr>
        <w:t>Düzeltme, ek, geçiş hükmü ve yürürlükten kalkma ilişkilerinin yönetilmesi</w:t>
      </w:r>
    </w:p>
    <w:p>
      <w:pPr>
        <w:spacing w:before="0" w:after="80" w:line="300" w:lineRule="auto"/>
        <w:numPr>
          <w:ilvl w:val="0"/>
          <w:numId w:val="10"/>
        </w:numPr>
      </w:pPr>
      <w:r>
        <w:rPr>
          <w:rFonts w:ascii="Calibri" w:hAnsi="Calibri" w:eastAsia="Calibri"/>
          <w:color w:val="111111"/>
        </w:rPr>
        <w:t>Mevzuat değişikliğinin etkilenen kurallara, ekranlara, belgelere ve testlere bağlanması</w:t>
      </w:r>
    </w:p>
    <w:p>
      <w:pPr>
        <w:spacing w:before="0" w:after="80" w:line="300" w:lineRule="auto"/>
        <w:numPr>
          <w:ilvl w:val="0"/>
          <w:numId w:val="10"/>
        </w:numPr>
      </w:pPr>
      <w:r>
        <w:rPr>
          <w:rFonts w:ascii="Calibri" w:hAnsi="Calibri" w:eastAsia="Calibri"/>
          <w:color w:val="111111"/>
        </w:rPr>
        <w:t>Hukuki/telif lisansı ve veri kullanım hakkının ayrı kayıt altında tutulması</w:t>
      </w:r>
    </w:p>
    <w:p>
      <w:pPr>
        <w:pStyle w:val="Heading2"/>
        <w:keepNext/>
      </w:pPr>
      <w:r>
        <w:t>3.10. Raporlama ve Analitik</w:t>
      </w:r>
    </w:p>
    <w:p>
      <w:pPr>
        <w:spacing w:before="0" w:after="80" w:line="300" w:lineRule="auto"/>
        <w:numPr>
          <w:ilvl w:val="0"/>
          <w:numId w:val="10"/>
        </w:numPr>
      </w:pPr>
      <w:r>
        <w:rPr>
          <w:rFonts w:ascii="Calibri" w:hAnsi="Calibri" w:eastAsia="Calibri"/>
          <w:color w:val="111111"/>
        </w:rPr>
        <w:t>Sevkiyat bazlı uygunluk ve eksik veri raporu</w:t>
      </w:r>
    </w:p>
    <w:p>
      <w:pPr>
        <w:spacing w:before="0" w:after="80" w:line="300" w:lineRule="auto"/>
        <w:numPr>
          <w:ilvl w:val="0"/>
          <w:numId w:val="10"/>
        </w:numPr>
      </w:pPr>
      <w:r>
        <w:rPr>
          <w:rFonts w:ascii="Calibri" w:hAnsi="Calibri" w:eastAsia="Calibri"/>
          <w:color w:val="111111"/>
        </w:rPr>
        <w:t>UN numarası, sınıf, müşteri, rota, araç ve mod bazlı risk analizi</w:t>
      </w:r>
    </w:p>
    <w:p>
      <w:pPr>
        <w:spacing w:before="0" w:after="80" w:line="300" w:lineRule="auto"/>
        <w:numPr>
          <w:ilvl w:val="0"/>
          <w:numId w:val="10"/>
        </w:numPr>
      </w:pPr>
      <w:r>
        <w:rPr>
          <w:rFonts w:ascii="Calibri" w:hAnsi="Calibri" w:eastAsia="Calibri"/>
          <w:color w:val="111111"/>
        </w:rPr>
        <w:t>Belge/sertifika bitiş tarihleri ve eğitim ihtiyacı</w:t>
      </w:r>
    </w:p>
    <w:p>
      <w:pPr>
        <w:spacing w:before="0" w:after="80" w:line="300" w:lineRule="auto"/>
        <w:numPr>
          <w:ilvl w:val="0"/>
          <w:numId w:val="10"/>
        </w:numPr>
      </w:pPr>
      <w:r>
        <w:rPr>
          <w:rFonts w:ascii="Calibri" w:hAnsi="Calibri" w:eastAsia="Calibri"/>
          <w:color w:val="111111"/>
        </w:rPr>
        <w:t>STOP_WORK, kabul reddi, olay ve uygunsuzluk eğilimleri</w:t>
      </w:r>
    </w:p>
    <w:p>
      <w:pPr>
        <w:spacing w:before="0" w:after="80" w:line="300" w:lineRule="auto"/>
        <w:numPr>
          <w:ilvl w:val="0"/>
          <w:numId w:val="10"/>
        </w:numPr>
      </w:pPr>
      <w:r>
        <w:rPr>
          <w:rFonts w:ascii="Calibri" w:hAnsi="Calibri" w:eastAsia="Calibri"/>
          <w:color w:val="111111"/>
        </w:rPr>
        <w:t>MARPOL/emisyon ve Logfiks karbon raporlaması bağlantısı</w:t>
      </w:r>
    </w:p>
    <w:p>
      <w:pPr>
        <w:pStyle w:val="Heading1"/>
        <w:keepNext/>
      </w:pPr>
      <w:r>
        <w:t>4. Taşıma Modu ve Kod Bazlı Modüller</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0B2545"/>
                <w:sz w:val="20"/>
              </w:rPr>
              <w:t xml:space="preserve">Denizyolu ayrımı: </w:t>
            </w:r>
            <w:r>
              <w:rPr>
                <w:rFonts w:ascii="Calibri" w:hAnsi="Calibri" w:eastAsia="Calibri"/>
                <w:color w:val="111111"/>
                <w:sz w:val="20"/>
              </w:rPr>
              <w:t>Denizyolu tek bir modül olarak ele alınmamalıdır. Paketli yüklerde IMDG; katı dökme yüklerde IMSBC; dökme tehlikeli sıvılarda IBC ve MARPOL Annex II; sıvılaştırılmış gazlarda IGC; tahılda Grain; güverte kerestesinde TDC; CTU dolumu ve yük sabitlemede CTU/CSS katmanları uygulanmalıdır.</w:t>
            </w:r>
          </w:p>
        </w:tc>
      </w:tr>
    </w:tbl>
    <w:p>
      <w:pPr>
        <w:spacing w:after="40"/>
      </w:pPr>
    </w:p>
    <w:p>
      <w:pPr>
        <w:pStyle w:val="Heading2"/>
        <w:keepNext/>
      </w:pPr>
      <w:r>
        <w:t>4.1. ADR – Karayolu</w:t>
      </w:r>
    </w:p>
    <w:p>
      <w:pPr>
        <w:spacing w:before="0" w:after="80" w:line="300" w:lineRule="auto"/>
        <w:numPr>
          <w:ilvl w:val="0"/>
          <w:numId w:val="10"/>
        </w:numPr>
      </w:pPr>
      <w:r>
        <w:rPr>
          <w:rFonts w:ascii="Calibri" w:hAnsi="Calibri" w:eastAsia="Calibri"/>
          <w:color w:val="111111"/>
        </w:rPr>
        <w:t>Taşıma kategorisi ve ADR 1.1.3.6 puan hesabı</w:t>
      </w:r>
    </w:p>
    <w:p>
      <w:pPr>
        <w:spacing w:before="0" w:after="80" w:line="300" w:lineRule="auto"/>
        <w:numPr>
          <w:ilvl w:val="0"/>
          <w:numId w:val="10"/>
        </w:numPr>
      </w:pPr>
      <w:r>
        <w:rPr>
          <w:rFonts w:ascii="Calibri" w:hAnsi="Calibri" w:eastAsia="Calibri"/>
          <w:color w:val="111111"/>
        </w:rPr>
        <w:t>Sınırlı/istisnai miktar ve diğer muafiyet kontrolleri</w:t>
      </w:r>
    </w:p>
    <w:p>
      <w:pPr>
        <w:spacing w:before="0" w:after="80" w:line="300" w:lineRule="auto"/>
        <w:numPr>
          <w:ilvl w:val="0"/>
          <w:numId w:val="10"/>
        </w:numPr>
      </w:pPr>
      <w:r>
        <w:rPr>
          <w:rFonts w:ascii="Calibri" w:hAnsi="Calibri" w:eastAsia="Calibri"/>
          <w:color w:val="111111"/>
        </w:rPr>
        <w:t>Tünel kısıtlama kodu, güzergâh ve park kısıtları</w:t>
      </w:r>
    </w:p>
    <w:p>
      <w:pPr>
        <w:spacing w:before="0" w:after="80" w:line="300" w:lineRule="auto"/>
        <w:numPr>
          <w:ilvl w:val="0"/>
          <w:numId w:val="10"/>
        </w:numPr>
      </w:pPr>
      <w:r>
        <w:rPr>
          <w:rFonts w:ascii="Calibri" w:hAnsi="Calibri" w:eastAsia="Calibri"/>
          <w:color w:val="111111"/>
        </w:rPr>
        <w:t>EX/II, EX/III, FL, AT gibi araç türü ve araç uygunluk belgesi</w:t>
      </w:r>
    </w:p>
    <w:p>
      <w:pPr>
        <w:spacing w:before="0" w:after="80" w:line="300" w:lineRule="auto"/>
        <w:numPr>
          <w:ilvl w:val="0"/>
          <w:numId w:val="10"/>
        </w:numPr>
      </w:pPr>
      <w:r>
        <w:rPr>
          <w:rFonts w:ascii="Calibri" w:hAnsi="Calibri" w:eastAsia="Calibri"/>
          <w:color w:val="111111"/>
        </w:rPr>
        <w:t>Tank kodu, tank hiyerarşisi ve muayene geçerlilikleri</w:t>
      </w:r>
    </w:p>
    <w:p>
      <w:pPr>
        <w:spacing w:before="0" w:after="80" w:line="300" w:lineRule="auto"/>
        <w:numPr>
          <w:ilvl w:val="0"/>
          <w:numId w:val="10"/>
        </w:numPr>
      </w:pPr>
      <w:r>
        <w:rPr>
          <w:rFonts w:ascii="Calibri" w:hAnsi="Calibri" w:eastAsia="Calibri"/>
          <w:color w:val="111111"/>
        </w:rPr>
        <w:t>SRC-5 kapsamı, yazılı talimatlar, araç ekipmanı ve yangın söndürücüler</w:t>
      </w:r>
    </w:p>
    <w:p>
      <w:pPr>
        <w:spacing w:before="0" w:after="80" w:line="300" w:lineRule="auto"/>
        <w:numPr>
          <w:ilvl w:val="0"/>
          <w:numId w:val="10"/>
        </w:numPr>
      </w:pPr>
      <w:r>
        <w:rPr>
          <w:rFonts w:ascii="Calibri" w:hAnsi="Calibri" w:eastAsia="Calibri"/>
          <w:color w:val="111111"/>
        </w:rPr>
        <w:t>Turuncu plaka, etiket, yükleme emniyeti ve yüksek riskli tehlikeli madde güvenlik planı</w:t>
      </w:r>
    </w:p>
    <w:p>
      <w:pPr>
        <w:spacing w:before="0" w:after="80" w:line="300" w:lineRule="auto"/>
        <w:numPr>
          <w:ilvl w:val="0"/>
          <w:numId w:val="10"/>
        </w:numPr>
      </w:pPr>
      <w:r>
        <w:rPr>
          <w:rFonts w:ascii="Calibri" w:hAnsi="Calibri" w:eastAsia="Calibri"/>
          <w:color w:val="111111"/>
        </w:rPr>
        <w:t>Ulusal istisnalar ve çok taraflı anlaşmalar</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Temmuz 2026 için ana sürüm: ADR 2025.</w:t>
            </w:r>
          </w:p>
        </w:tc>
      </w:tr>
    </w:tbl>
    <w:p>
      <w:pPr>
        <w:spacing w:after="40"/>
      </w:pPr>
    </w:p>
    <w:p>
      <w:pPr>
        <w:pStyle w:val="Heading2"/>
        <w:keepNext/>
      </w:pPr>
      <w:r>
        <w:t>4.2. RID – Demiryolu</w:t>
      </w:r>
    </w:p>
    <w:p>
      <w:pPr>
        <w:spacing w:before="0" w:after="80" w:line="300" w:lineRule="auto"/>
        <w:numPr>
          <w:ilvl w:val="0"/>
          <w:numId w:val="10"/>
        </w:numPr>
      </w:pPr>
      <w:r>
        <w:rPr>
          <w:rFonts w:ascii="Calibri" w:hAnsi="Calibri" w:eastAsia="Calibri"/>
          <w:color w:val="111111"/>
        </w:rPr>
        <w:t>Vagon/tank vagon kimliği, uygunluğu ve muayene tarihleri</w:t>
      </w:r>
    </w:p>
    <w:p>
      <w:pPr>
        <w:spacing w:before="0" w:after="80" w:line="300" w:lineRule="auto"/>
        <w:numPr>
          <w:ilvl w:val="0"/>
          <w:numId w:val="10"/>
        </w:numPr>
      </w:pPr>
      <w:r>
        <w:rPr>
          <w:rFonts w:ascii="Calibri" w:hAnsi="Calibri" w:eastAsia="Calibri"/>
          <w:color w:val="111111"/>
        </w:rPr>
        <w:t>Tank kodu, işaretleme ve plakalama</w:t>
      </w:r>
    </w:p>
    <w:p>
      <w:pPr>
        <w:spacing w:before="0" w:after="80" w:line="300" w:lineRule="auto"/>
        <w:numPr>
          <w:ilvl w:val="0"/>
          <w:numId w:val="10"/>
        </w:numPr>
      </w:pPr>
      <w:r>
        <w:rPr>
          <w:rFonts w:ascii="Calibri" w:hAnsi="Calibri" w:eastAsia="Calibri"/>
          <w:color w:val="111111"/>
        </w:rPr>
        <w:t>Taşıyıcı, altyapı yöneticisi ve tren teşkil bilgisi</w:t>
      </w:r>
    </w:p>
    <w:p>
      <w:pPr>
        <w:spacing w:before="0" w:after="80" w:line="300" w:lineRule="auto"/>
        <w:numPr>
          <w:ilvl w:val="0"/>
          <w:numId w:val="10"/>
        </w:numPr>
      </w:pPr>
      <w:r>
        <w:rPr>
          <w:rFonts w:ascii="Calibri" w:hAnsi="Calibri" w:eastAsia="Calibri"/>
          <w:color w:val="111111"/>
        </w:rPr>
        <w:t>Manevra, sıralama, güzergâh ve istasyon kısıtları</w:t>
      </w:r>
    </w:p>
    <w:p>
      <w:pPr>
        <w:spacing w:before="0" w:after="80" w:line="300" w:lineRule="auto"/>
        <w:numPr>
          <w:ilvl w:val="0"/>
          <w:numId w:val="10"/>
        </w:numPr>
      </w:pPr>
      <w:r>
        <w:rPr>
          <w:rFonts w:ascii="Calibri" w:hAnsi="Calibri" w:eastAsia="Calibri"/>
          <w:color w:val="111111"/>
        </w:rPr>
        <w:t>Yükleme/boşaltma kontrolü ve acil durum bilgileri</w:t>
      </w:r>
    </w:p>
    <w:p>
      <w:pPr>
        <w:spacing w:before="0" w:after="80" w:line="300" w:lineRule="auto"/>
        <w:numPr>
          <w:ilvl w:val="0"/>
          <w:numId w:val="10"/>
        </w:numPr>
      </w:pPr>
      <w:r>
        <w:rPr>
          <w:rFonts w:ascii="Calibri" w:hAnsi="Calibri" w:eastAsia="Calibri"/>
          <w:color w:val="111111"/>
        </w:rPr>
        <w:t>RID geçici istisnaları ve ADR–RID geçiş kontrolü</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Temmuz 2026 için ana sürüm: RID 2025.</w:t>
            </w:r>
          </w:p>
        </w:tc>
      </w:tr>
    </w:tbl>
    <w:p>
      <w:pPr>
        <w:spacing w:after="40"/>
      </w:pPr>
    </w:p>
    <w:p>
      <w:pPr>
        <w:pStyle w:val="Heading2"/>
        <w:keepNext/>
      </w:pPr>
      <w:r>
        <w:t>4.3. IMDG Code – Paketli Denizyolu</w:t>
      </w:r>
    </w:p>
    <w:p>
      <w:pPr>
        <w:spacing w:before="0" w:after="80" w:line="300" w:lineRule="auto"/>
        <w:numPr>
          <w:ilvl w:val="0"/>
          <w:numId w:val="10"/>
        </w:numPr>
      </w:pPr>
      <w:r>
        <w:rPr>
          <w:rFonts w:ascii="Calibri" w:hAnsi="Calibri" w:eastAsia="Calibri"/>
          <w:color w:val="111111"/>
        </w:rPr>
        <w:t>UN numarası, Proper Shipping Name ve Marine Pollutant</w:t>
      </w:r>
    </w:p>
    <w:p>
      <w:pPr>
        <w:spacing w:before="0" w:after="80" w:line="300" w:lineRule="auto"/>
        <w:numPr>
          <w:ilvl w:val="0"/>
          <w:numId w:val="10"/>
        </w:numPr>
      </w:pPr>
      <w:r>
        <w:rPr>
          <w:rFonts w:ascii="Calibri" w:hAnsi="Calibri" w:eastAsia="Calibri"/>
          <w:color w:val="111111"/>
        </w:rPr>
        <w:t>EmS kodları ve MFAG referansları</w:t>
      </w:r>
    </w:p>
    <w:p>
      <w:pPr>
        <w:spacing w:before="0" w:after="80" w:line="300" w:lineRule="auto"/>
        <w:numPr>
          <w:ilvl w:val="0"/>
          <w:numId w:val="10"/>
        </w:numPr>
      </w:pPr>
      <w:r>
        <w:rPr>
          <w:rFonts w:ascii="Calibri" w:hAnsi="Calibri" w:eastAsia="Calibri"/>
          <w:color w:val="111111"/>
        </w:rPr>
        <w:t>Stowage category/location, special stowage ve handling hükümleri</w:t>
      </w:r>
    </w:p>
    <w:p>
      <w:pPr>
        <w:spacing w:before="0" w:after="80" w:line="300" w:lineRule="auto"/>
        <w:numPr>
          <w:ilvl w:val="0"/>
          <w:numId w:val="10"/>
        </w:numPr>
      </w:pPr>
      <w:r>
        <w:rPr>
          <w:rFonts w:ascii="Calibri" w:hAnsi="Calibri" w:eastAsia="Calibri"/>
          <w:color w:val="111111"/>
        </w:rPr>
        <w:t>Segregasyon kodları ve grupları</w:t>
      </w:r>
    </w:p>
    <w:p>
      <w:pPr>
        <w:spacing w:before="0" w:after="80" w:line="300" w:lineRule="auto"/>
        <w:numPr>
          <w:ilvl w:val="0"/>
          <w:numId w:val="10"/>
        </w:numPr>
      </w:pPr>
      <w:r>
        <w:rPr>
          <w:rFonts w:ascii="Calibri" w:hAnsi="Calibri" w:eastAsia="Calibri"/>
          <w:color w:val="111111"/>
        </w:rPr>
        <w:t>Limited/Excepted Quantity, packing ve portable tank talimatları</w:t>
      </w:r>
    </w:p>
    <w:p>
      <w:pPr>
        <w:spacing w:before="0" w:after="80" w:line="300" w:lineRule="auto"/>
        <w:numPr>
          <w:ilvl w:val="0"/>
          <w:numId w:val="10"/>
        </w:numPr>
      </w:pPr>
      <w:r>
        <w:rPr>
          <w:rFonts w:ascii="Calibri" w:hAnsi="Calibri" w:eastAsia="Calibri"/>
          <w:color w:val="111111"/>
        </w:rPr>
        <w:t>CTU packing certificate, tehlikeli yük beyannamesi ve konteyner plakalama</w:t>
      </w:r>
    </w:p>
    <w:p>
      <w:pPr>
        <w:spacing w:before="0" w:after="80" w:line="300" w:lineRule="auto"/>
        <w:numPr>
          <w:ilvl w:val="0"/>
          <w:numId w:val="10"/>
        </w:numPr>
      </w:pPr>
      <w:r>
        <w:rPr>
          <w:rFonts w:ascii="Calibri" w:hAnsi="Calibri" w:eastAsia="Calibri"/>
          <w:color w:val="111111"/>
        </w:rPr>
        <w:t>Fumigasyon, sıcaklık kontrollü yük, liman ön bildirimi ve gemi kabulü</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IMDG Code 2024 Edition / Amendment 42-24, 1 Ocak 2026’dan itibaren zorunludur.</w:t>
            </w:r>
          </w:p>
        </w:tc>
      </w:tr>
    </w:tbl>
    <w:p>
      <w:pPr>
        <w:spacing w:after="40"/>
      </w:pPr>
    </w:p>
    <w:p>
      <w:pPr>
        <w:pStyle w:val="Heading2"/>
        <w:keepNext/>
      </w:pPr>
      <w:r>
        <w:t>4.4. IMSBC Code – Katı Dökme Yük</w:t>
      </w:r>
    </w:p>
    <w:p>
      <w:pPr>
        <w:spacing w:before="0" w:after="80" w:line="300" w:lineRule="auto"/>
        <w:numPr>
          <w:ilvl w:val="0"/>
          <w:numId w:val="10"/>
        </w:numPr>
      </w:pPr>
      <w:r>
        <w:rPr>
          <w:rFonts w:ascii="Calibri" w:hAnsi="Calibri" w:eastAsia="Calibri"/>
          <w:color w:val="111111"/>
        </w:rPr>
        <w:t>Bulk Cargo Shipping Name (BCSN), yük programı ve Group A/B/C</w:t>
      </w:r>
    </w:p>
    <w:p>
      <w:pPr>
        <w:spacing w:before="0" w:after="80" w:line="300" w:lineRule="auto"/>
        <w:numPr>
          <w:ilvl w:val="0"/>
          <w:numId w:val="10"/>
        </w:numPr>
      </w:pPr>
      <w:r>
        <w:rPr>
          <w:rFonts w:ascii="Calibri" w:hAnsi="Calibri" w:eastAsia="Calibri"/>
          <w:color w:val="111111"/>
        </w:rPr>
        <w:t>MHB özellikleri ve kimyasal tehlikeler</w:t>
      </w:r>
    </w:p>
    <w:p>
      <w:pPr>
        <w:spacing w:before="0" w:after="80" w:line="300" w:lineRule="auto"/>
        <w:numPr>
          <w:ilvl w:val="0"/>
          <w:numId w:val="10"/>
        </w:numPr>
      </w:pPr>
      <w:r>
        <w:rPr>
          <w:rFonts w:ascii="Calibri" w:hAnsi="Calibri" w:eastAsia="Calibri"/>
          <w:color w:val="111111"/>
        </w:rPr>
        <w:t>Akışkanlaşma riski, TML, nem oranı, numune ve sertifika tarihleri</w:t>
      </w:r>
    </w:p>
    <w:p>
      <w:pPr>
        <w:spacing w:before="0" w:after="80" w:line="300" w:lineRule="auto"/>
        <w:numPr>
          <w:ilvl w:val="0"/>
          <w:numId w:val="10"/>
        </w:numPr>
      </w:pPr>
      <w:r>
        <w:rPr>
          <w:rFonts w:ascii="Calibri" w:hAnsi="Calibri" w:eastAsia="Calibri"/>
          <w:color w:val="111111"/>
        </w:rPr>
        <w:t>Yük beyanı, listelenmemiş yük ve yetkili makam kabulü</w:t>
      </w:r>
    </w:p>
    <w:p>
      <w:pPr>
        <w:spacing w:before="0" w:after="80" w:line="300" w:lineRule="auto"/>
        <w:numPr>
          <w:ilvl w:val="0"/>
          <w:numId w:val="10"/>
        </w:numPr>
      </w:pPr>
      <w:r>
        <w:rPr>
          <w:rFonts w:ascii="Calibri" w:hAnsi="Calibri" w:eastAsia="Calibri"/>
          <w:color w:val="111111"/>
        </w:rPr>
        <w:t>Ambar uygunluğu, temizlik, trim, havalandırma, sıcaklık ve gaz ölçümü</w:t>
      </w:r>
    </w:p>
    <w:p>
      <w:pPr>
        <w:spacing w:before="0" w:after="80" w:line="300" w:lineRule="auto"/>
        <w:numPr>
          <w:ilvl w:val="0"/>
          <w:numId w:val="10"/>
        </w:numPr>
      </w:pPr>
      <w:r>
        <w:rPr>
          <w:rFonts w:ascii="Calibri" w:hAnsi="Calibri" w:eastAsia="Calibri"/>
          <w:color w:val="111111"/>
        </w:rPr>
        <w:t>Yükleme hızı, yük dağılımı, gemi gerilme/stabilite limitleri ve BLU planı</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Amendment 08-25: 1 Ocak 2026’dan itibaren gönüllü, 1 Ocak 2027’de zorunlu profil.</w:t>
            </w:r>
          </w:p>
        </w:tc>
      </w:tr>
    </w:tbl>
    <w:p>
      <w:pPr>
        <w:spacing w:after="40"/>
      </w:pPr>
    </w:p>
    <w:p>
      <w:pPr>
        <w:pStyle w:val="Heading2"/>
        <w:keepNext/>
      </w:pPr>
      <w:r>
        <w:t>4.5. IBC Code – Dökme Kimyasal Yük</w:t>
      </w:r>
    </w:p>
    <w:p>
      <w:pPr>
        <w:spacing w:before="0" w:after="80" w:line="300" w:lineRule="auto"/>
        <w:numPr>
          <w:ilvl w:val="0"/>
          <w:numId w:val="10"/>
        </w:numPr>
      </w:pPr>
      <w:r>
        <w:rPr>
          <w:rFonts w:ascii="Calibri" w:hAnsi="Calibri" w:eastAsia="Calibri"/>
          <w:color w:val="111111"/>
        </w:rPr>
        <w:t>Ürün adı, IBC bölüm referansı ve MARPOL Annex II kirlilik kategorisi</w:t>
      </w:r>
    </w:p>
    <w:p>
      <w:pPr>
        <w:spacing w:before="0" w:after="80" w:line="300" w:lineRule="auto"/>
        <w:numPr>
          <w:ilvl w:val="0"/>
          <w:numId w:val="10"/>
        </w:numPr>
      </w:pPr>
      <w:r>
        <w:rPr>
          <w:rFonts w:ascii="Calibri" w:hAnsi="Calibri" w:eastAsia="Calibri"/>
          <w:color w:val="111111"/>
        </w:rPr>
        <w:t>Gemi tipi, tank tipi, çevresel kontrol ve havalandırma</w:t>
      </w:r>
    </w:p>
    <w:p>
      <w:pPr>
        <w:spacing w:before="0" w:after="80" w:line="300" w:lineRule="auto"/>
        <w:numPr>
          <w:ilvl w:val="0"/>
          <w:numId w:val="10"/>
        </w:numPr>
      </w:pPr>
      <w:r>
        <w:rPr>
          <w:rFonts w:ascii="Calibri" w:hAnsi="Calibri" w:eastAsia="Calibri"/>
          <w:color w:val="111111"/>
        </w:rPr>
        <w:t>Ölçüm tipi, taşıma sıcaklığı/basıncı, tank malzemesi ve kaplama uyumluluğu</w:t>
      </w:r>
    </w:p>
    <w:p>
      <w:pPr>
        <w:spacing w:before="0" w:after="80" w:line="300" w:lineRule="auto"/>
        <w:numPr>
          <w:ilvl w:val="0"/>
          <w:numId w:val="10"/>
        </w:numPr>
      </w:pPr>
      <w:r>
        <w:rPr>
          <w:rFonts w:ascii="Calibri" w:hAnsi="Calibri" w:eastAsia="Calibri"/>
          <w:color w:val="111111"/>
        </w:rPr>
        <w:t>Elektriksel tehlike, yangın koruma ve özel operasyon hükümleri</w:t>
      </w:r>
    </w:p>
    <w:p>
      <w:pPr>
        <w:spacing w:before="0" w:after="80" w:line="300" w:lineRule="auto"/>
        <w:numPr>
          <w:ilvl w:val="0"/>
          <w:numId w:val="10"/>
        </w:numPr>
      </w:pPr>
      <w:r>
        <w:rPr>
          <w:rFonts w:ascii="Calibri" w:hAnsi="Calibri" w:eastAsia="Calibri"/>
          <w:color w:val="111111"/>
        </w:rPr>
        <w:t>P&amp;A Manual, Cargo Record Book, prewash, slop ve atık kabul tesisi</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Tanker/kimyasal terminal müşterileri için ayrı profesyonel paket önerilir.</w:t>
            </w:r>
          </w:p>
        </w:tc>
      </w:tr>
    </w:tbl>
    <w:p>
      <w:pPr>
        <w:spacing w:after="40"/>
      </w:pPr>
    </w:p>
    <w:p>
      <w:pPr>
        <w:pStyle w:val="Heading2"/>
        <w:keepNext/>
      </w:pPr>
      <w:r>
        <w:t>4.6. IGC Code – Sıvılaştırılmış Gaz</w:t>
      </w:r>
    </w:p>
    <w:p>
      <w:pPr>
        <w:spacing w:before="0" w:after="80" w:line="300" w:lineRule="auto"/>
        <w:numPr>
          <w:ilvl w:val="0"/>
          <w:numId w:val="10"/>
        </w:numPr>
      </w:pPr>
      <w:r>
        <w:rPr>
          <w:rFonts w:ascii="Calibri" w:hAnsi="Calibri" w:eastAsia="Calibri"/>
          <w:color w:val="111111"/>
        </w:rPr>
        <w:t>Ürün, gemi tipi, tank sistemi, tasarım basıncı ve taşıma sıcaklığı</w:t>
      </w:r>
    </w:p>
    <w:p>
      <w:pPr>
        <w:spacing w:before="0" w:after="80" w:line="300" w:lineRule="auto"/>
        <w:numPr>
          <w:ilvl w:val="0"/>
          <w:numId w:val="10"/>
        </w:numPr>
      </w:pPr>
      <w:r>
        <w:rPr>
          <w:rFonts w:ascii="Calibri" w:hAnsi="Calibri" w:eastAsia="Calibri"/>
          <w:color w:val="111111"/>
        </w:rPr>
        <w:t>Doldurma limiti, boil-off gas ve reliquefaction yönetimi</w:t>
      </w:r>
    </w:p>
    <w:p>
      <w:pPr>
        <w:spacing w:before="0" w:after="80" w:line="300" w:lineRule="auto"/>
        <w:numPr>
          <w:ilvl w:val="0"/>
          <w:numId w:val="10"/>
        </w:numPr>
      </w:pPr>
      <w:r>
        <w:rPr>
          <w:rFonts w:ascii="Calibri" w:hAnsi="Calibri" w:eastAsia="Calibri"/>
          <w:color w:val="111111"/>
        </w:rPr>
        <w:t>ESD, gaz algılama, havalandırma, malzeme uyumluluğu ve inhibitör</w:t>
      </w:r>
    </w:p>
    <w:p>
      <w:pPr>
        <w:spacing w:before="0" w:after="80" w:line="300" w:lineRule="auto"/>
        <w:numPr>
          <w:ilvl w:val="0"/>
          <w:numId w:val="10"/>
        </w:numPr>
      </w:pPr>
      <w:r>
        <w:rPr>
          <w:rFonts w:ascii="Calibri" w:hAnsi="Calibri" w:eastAsia="Calibri"/>
          <w:color w:val="111111"/>
        </w:rPr>
        <w:t>Yangın/acil durum düzeni ve ship–shore safety checklist</w:t>
      </w:r>
    </w:p>
    <w:p>
      <w:pPr>
        <w:spacing w:before="0" w:after="80" w:line="300" w:lineRule="auto"/>
        <w:numPr>
          <w:ilvl w:val="0"/>
          <w:numId w:val="10"/>
        </w:numPr>
      </w:pPr>
      <w:r>
        <w:rPr>
          <w:rFonts w:ascii="Calibri" w:hAnsi="Calibri" w:eastAsia="Calibri"/>
          <w:color w:val="111111"/>
        </w:rPr>
        <w:t>Yükleme/boşaltma bağlantıları, sertifikalar ve özel taşıma şartları</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IGC Code Chapter 6 değişiklikleri 1 Ocak 2026’da yürürlüğe girmiştir.</w:t>
            </w:r>
          </w:p>
        </w:tc>
      </w:tr>
    </w:tbl>
    <w:p>
      <w:pPr>
        <w:spacing w:after="40"/>
      </w:pPr>
    </w:p>
    <w:p>
      <w:pPr>
        <w:pStyle w:val="Heading2"/>
        <w:keepNext/>
      </w:pPr>
      <w:r>
        <w:t>4.7. Grain Code – Dökme Tahıl</w:t>
      </w:r>
    </w:p>
    <w:p>
      <w:pPr>
        <w:spacing w:before="0" w:after="80" w:line="300" w:lineRule="auto"/>
        <w:numPr>
          <w:ilvl w:val="0"/>
          <w:numId w:val="10"/>
        </w:numPr>
      </w:pPr>
      <w:r>
        <w:rPr>
          <w:rFonts w:ascii="Calibri" w:hAnsi="Calibri" w:eastAsia="Calibri"/>
          <w:color w:val="111111"/>
        </w:rPr>
        <w:t>Tahıl türü, ambar/kompartıman, dolu veya kısmen dolu durum</w:t>
      </w:r>
    </w:p>
    <w:p>
      <w:pPr>
        <w:spacing w:before="0" w:after="80" w:line="300" w:lineRule="auto"/>
        <w:numPr>
          <w:ilvl w:val="0"/>
          <w:numId w:val="10"/>
        </w:numPr>
      </w:pPr>
      <w:r>
        <w:rPr>
          <w:rFonts w:ascii="Calibri" w:hAnsi="Calibri" w:eastAsia="Calibri"/>
          <w:color w:val="111111"/>
        </w:rPr>
        <w:t>Yük yoğunluğu, yükleme koşulu, heeling moment ve GM/stabilite</w:t>
      </w:r>
    </w:p>
    <w:p>
      <w:pPr>
        <w:spacing w:before="0" w:after="80" w:line="300" w:lineRule="auto"/>
        <w:numPr>
          <w:ilvl w:val="0"/>
          <w:numId w:val="10"/>
        </w:numPr>
      </w:pPr>
      <w:r>
        <w:rPr>
          <w:rFonts w:ascii="Calibri" w:hAnsi="Calibri" w:eastAsia="Calibri"/>
          <w:color w:val="111111"/>
        </w:rPr>
        <w:t>Grain Loading Manual ve Document of Authorization</w:t>
      </w:r>
    </w:p>
    <w:p>
      <w:pPr>
        <w:spacing w:before="0" w:after="80" w:line="300" w:lineRule="auto"/>
        <w:numPr>
          <w:ilvl w:val="0"/>
          <w:numId w:val="10"/>
        </w:numPr>
      </w:pPr>
      <w:r>
        <w:rPr>
          <w:rFonts w:ascii="Calibri" w:hAnsi="Calibri" w:eastAsia="Calibri"/>
          <w:color w:val="111111"/>
        </w:rPr>
        <w:t>Besleyici bölme, shifting board/saucer, trim ve yüzey sabitleme</w:t>
      </w:r>
    </w:p>
    <w:p>
      <w:pPr>
        <w:spacing w:before="0" w:after="80" w:line="300" w:lineRule="auto"/>
        <w:numPr>
          <w:ilvl w:val="0"/>
          <w:numId w:val="10"/>
        </w:numPr>
      </w:pPr>
      <w:r>
        <w:rPr>
          <w:rFonts w:ascii="Calibri" w:hAnsi="Calibri" w:eastAsia="Calibri"/>
          <w:color w:val="111111"/>
        </w:rPr>
        <w:t>Kaptan onayı ve hesap doğrulaması</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Grain Code Chapter 6 değişiklikleri 1 Ocak 2026’da yürürlüktedir.</w:t>
            </w:r>
          </w:p>
        </w:tc>
      </w:tr>
    </w:tbl>
    <w:p>
      <w:pPr>
        <w:spacing w:after="40"/>
      </w:pPr>
    </w:p>
    <w:p>
      <w:pPr>
        <w:pStyle w:val="Heading2"/>
        <w:keepNext/>
      </w:pPr>
      <w:r>
        <w:t>4.8. TDC Code – Güverte Kerestesi</w:t>
      </w:r>
    </w:p>
    <w:p>
      <w:pPr>
        <w:spacing w:before="0" w:after="80" w:line="300" w:lineRule="auto"/>
        <w:numPr>
          <w:ilvl w:val="0"/>
          <w:numId w:val="10"/>
        </w:numPr>
      </w:pPr>
      <w:r>
        <w:rPr>
          <w:rFonts w:ascii="Calibri" w:hAnsi="Calibri" w:eastAsia="Calibri"/>
          <w:color w:val="111111"/>
        </w:rPr>
        <w:t>Gemi boyu, kereste türü, istif yüksekliği/geometrisi ve güverte alanı</w:t>
      </w:r>
    </w:p>
    <w:p>
      <w:pPr>
        <w:spacing w:before="0" w:after="80" w:line="300" w:lineRule="auto"/>
        <w:numPr>
          <w:ilvl w:val="0"/>
          <w:numId w:val="10"/>
        </w:numPr>
      </w:pPr>
      <w:r>
        <w:rPr>
          <w:rFonts w:ascii="Calibri" w:hAnsi="Calibri" w:eastAsia="Calibri"/>
          <w:color w:val="111111"/>
        </w:rPr>
        <w:t>Yük ağırlığı, ağırlık merkezi ve stabilite</w:t>
      </w:r>
    </w:p>
    <w:p>
      <w:pPr>
        <w:spacing w:before="0" w:after="80" w:line="300" w:lineRule="auto"/>
        <w:numPr>
          <w:ilvl w:val="0"/>
          <w:numId w:val="10"/>
        </w:numPr>
      </w:pPr>
      <w:r>
        <w:rPr>
          <w:rFonts w:ascii="Calibri" w:hAnsi="Calibri" w:eastAsia="Calibri"/>
          <w:color w:val="111111"/>
        </w:rPr>
        <w:t>Lashing, uprights, bağlama ekipmanı sertifikaları ve MSL</w:t>
      </w:r>
    </w:p>
    <w:p>
      <w:pPr>
        <w:spacing w:before="0" w:after="80" w:line="300" w:lineRule="auto"/>
        <w:numPr>
          <w:ilvl w:val="0"/>
          <w:numId w:val="10"/>
        </w:numPr>
      </w:pPr>
      <w:r>
        <w:rPr>
          <w:rFonts w:ascii="Calibri" w:hAnsi="Calibri" w:eastAsia="Calibri"/>
          <w:color w:val="111111"/>
        </w:rPr>
        <w:t>Drenaj, erişim, görüş şartları, hava/deniz durumu ve sefer kontrolü</w:t>
      </w:r>
    </w:p>
    <w:p>
      <w:pPr>
        <w:spacing w:before="0" w:after="80" w:line="300" w:lineRule="auto"/>
        <w:numPr>
          <w:ilvl w:val="0"/>
          <w:numId w:val="10"/>
        </w:numPr>
      </w:pPr>
      <w:r>
        <w:rPr>
          <w:rFonts w:ascii="Calibri" w:hAnsi="Calibri" w:eastAsia="Calibri"/>
          <w:color w:val="111111"/>
        </w:rPr>
        <w:t>Fotoğraflı gözetim ve bağlama kontrol raporları</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2011 TDC Code, 24 m ve üzerindeki gemilere yönelik bağlayıcı olmayan emniyet standardıdır.</w:t>
            </w:r>
          </w:p>
        </w:tc>
      </w:tr>
    </w:tbl>
    <w:p>
      <w:pPr>
        <w:spacing w:after="40"/>
      </w:pPr>
    </w:p>
    <w:p>
      <w:pPr>
        <w:pStyle w:val="Heading2"/>
        <w:keepNext/>
      </w:pPr>
      <w:r>
        <w:t>4.9. CTU Code – Taşıma Birimi Dolumu</w:t>
      </w:r>
    </w:p>
    <w:p>
      <w:pPr>
        <w:spacing w:before="0" w:after="80" w:line="300" w:lineRule="auto"/>
        <w:numPr>
          <w:ilvl w:val="0"/>
          <w:numId w:val="10"/>
        </w:numPr>
      </w:pPr>
      <w:r>
        <w:rPr>
          <w:rFonts w:ascii="Calibri" w:hAnsi="Calibri" w:eastAsia="Calibri"/>
          <w:color w:val="111111"/>
        </w:rPr>
        <w:t>Konteyner, swap body, araç, vagon veya diğer CTU kimliği ve CSC plakası</w:t>
      </w:r>
    </w:p>
    <w:p>
      <w:pPr>
        <w:spacing w:before="0" w:after="80" w:line="300" w:lineRule="auto"/>
        <w:numPr>
          <w:ilvl w:val="0"/>
          <w:numId w:val="10"/>
        </w:numPr>
      </w:pPr>
      <w:r>
        <w:rPr>
          <w:rFonts w:ascii="Calibri" w:hAnsi="Calibri" w:eastAsia="Calibri"/>
          <w:color w:val="111111"/>
        </w:rPr>
        <w:t>Yapısal durum, taban/duvar uygunluğu ve önceki yük</w:t>
      </w:r>
    </w:p>
    <w:p>
      <w:pPr>
        <w:spacing w:before="0" w:after="80" w:line="300" w:lineRule="auto"/>
        <w:numPr>
          <w:ilvl w:val="0"/>
          <w:numId w:val="10"/>
        </w:numPr>
      </w:pPr>
      <w:r>
        <w:rPr>
          <w:rFonts w:ascii="Calibri" w:hAnsi="Calibri" w:eastAsia="Calibri"/>
          <w:color w:val="111111"/>
        </w:rPr>
        <w:t>Kütle merkezi, dingil/zemin yükü, yük dağılımı ve paket yerleşimi</w:t>
      </w:r>
    </w:p>
    <w:p>
      <w:pPr>
        <w:spacing w:before="0" w:after="80" w:line="300" w:lineRule="auto"/>
        <w:numPr>
          <w:ilvl w:val="0"/>
          <w:numId w:val="10"/>
        </w:numPr>
      </w:pPr>
      <w:r>
        <w:rPr>
          <w:rFonts w:ascii="Calibri" w:hAnsi="Calibri" w:eastAsia="Calibri"/>
          <w:color w:val="111111"/>
        </w:rPr>
        <w:t>Sabitleme, boşluk doldurma, uyumluluk ve segregasyon</w:t>
      </w:r>
    </w:p>
    <w:p>
      <w:pPr>
        <w:spacing w:before="0" w:after="80" w:line="300" w:lineRule="auto"/>
        <w:numPr>
          <w:ilvl w:val="0"/>
          <w:numId w:val="10"/>
        </w:numPr>
      </w:pPr>
      <w:r>
        <w:rPr>
          <w:rFonts w:ascii="Calibri" w:hAnsi="Calibri" w:eastAsia="Calibri"/>
          <w:color w:val="111111"/>
        </w:rPr>
        <w:t>Nem/yoğuşma, zararlı gaz, fumigasyon, temizlik ve mühür</w:t>
      </w:r>
    </w:p>
    <w:p>
      <w:pPr>
        <w:spacing w:before="0" w:after="80" w:line="300" w:lineRule="auto"/>
        <w:numPr>
          <w:ilvl w:val="0"/>
          <w:numId w:val="10"/>
        </w:numPr>
      </w:pPr>
      <w:r>
        <w:rPr>
          <w:rFonts w:ascii="Calibri" w:hAnsi="Calibri" w:eastAsia="Calibri"/>
          <w:color w:val="111111"/>
        </w:rPr>
        <w:t>Fotoğraflı kontrol, paketleyen kişi, packing certificate ve DBA/VGM</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Logfiks için yüksek ticari farklılaştırma potansiyeline sahip modüldür.</w:t>
            </w:r>
          </w:p>
        </w:tc>
      </w:tr>
    </w:tbl>
    <w:p>
      <w:pPr>
        <w:spacing w:after="40"/>
      </w:pPr>
    </w:p>
    <w:p>
      <w:pPr>
        <w:pStyle w:val="Heading2"/>
        <w:keepNext/>
      </w:pPr>
      <w:r>
        <w:t>4.10. CSS Code – İstifleme ve Sabitleme</w:t>
      </w:r>
    </w:p>
    <w:p>
      <w:pPr>
        <w:spacing w:before="0" w:after="80" w:line="300" w:lineRule="auto"/>
        <w:numPr>
          <w:ilvl w:val="0"/>
          <w:numId w:val="10"/>
        </w:numPr>
      </w:pPr>
      <w:r>
        <w:rPr>
          <w:rFonts w:ascii="Calibri" w:hAnsi="Calibri" w:eastAsia="Calibri"/>
          <w:color w:val="111111"/>
        </w:rPr>
        <w:t>Cargo Securing Manual ve gemiye özel limitler</w:t>
      </w:r>
    </w:p>
    <w:p>
      <w:pPr>
        <w:spacing w:before="0" w:after="80" w:line="300" w:lineRule="auto"/>
        <w:numPr>
          <w:ilvl w:val="0"/>
          <w:numId w:val="10"/>
        </w:numPr>
      </w:pPr>
      <w:r>
        <w:rPr>
          <w:rFonts w:ascii="Calibri" w:hAnsi="Calibri" w:eastAsia="Calibri"/>
          <w:color w:val="111111"/>
        </w:rPr>
        <w:t>Yük türü, ağırlık, geometri, güverte konumu ve gemi ivmeleri</w:t>
      </w:r>
    </w:p>
    <w:p>
      <w:pPr>
        <w:spacing w:before="0" w:after="80" w:line="300" w:lineRule="auto"/>
        <w:numPr>
          <w:ilvl w:val="0"/>
          <w:numId w:val="10"/>
        </w:numPr>
      </w:pPr>
      <w:r>
        <w:rPr>
          <w:rFonts w:ascii="Calibri" w:hAnsi="Calibri" w:eastAsia="Calibri"/>
          <w:color w:val="111111"/>
        </w:rPr>
        <w:t>MSL/CS, bağlama noktaları, ekipman ve sürtünme katsayısı</w:t>
      </w:r>
    </w:p>
    <w:p>
      <w:pPr>
        <w:spacing w:before="0" w:after="80" w:line="300" w:lineRule="auto"/>
        <w:numPr>
          <w:ilvl w:val="0"/>
          <w:numId w:val="10"/>
        </w:numPr>
      </w:pPr>
      <w:r>
        <w:rPr>
          <w:rFonts w:ascii="Calibri" w:hAnsi="Calibri" w:eastAsia="Calibri"/>
          <w:color w:val="111111"/>
        </w:rPr>
        <w:t>Kayma/devrilme hesabı, roll/pitch etkisi ve yükleme planı</w:t>
      </w:r>
    </w:p>
    <w:p>
      <w:pPr>
        <w:spacing w:before="0" w:after="80" w:line="300" w:lineRule="auto"/>
        <w:numPr>
          <w:ilvl w:val="0"/>
          <w:numId w:val="10"/>
        </w:numPr>
      </w:pPr>
      <w:r>
        <w:rPr>
          <w:rFonts w:ascii="Calibri" w:hAnsi="Calibri" w:eastAsia="Calibri"/>
          <w:color w:val="111111"/>
        </w:rPr>
        <w:t>Seyir kontrol aralığı ve hasarlı bağlama ekipmanı</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CTU Code ile ortak yük emniyeti veri modeli kullanılmalıdır.</w:t>
            </w:r>
          </w:p>
        </w:tc>
      </w:tr>
    </w:tbl>
    <w:p>
      <w:pPr>
        <w:spacing w:after="40"/>
      </w:pPr>
    </w:p>
    <w:p>
      <w:pPr>
        <w:pStyle w:val="Heading2"/>
        <w:keepNext/>
      </w:pPr>
      <w:r>
        <w:t>4.11. MARPOL – Çevresel Uyum</w:t>
      </w:r>
    </w:p>
    <w:p>
      <w:pPr>
        <w:spacing w:before="0" w:after="80" w:line="300" w:lineRule="auto"/>
        <w:numPr>
          <w:ilvl w:val="0"/>
          <w:numId w:val="10"/>
        </w:numPr>
      </w:pPr>
      <w:r>
        <w:rPr>
          <w:rFonts w:ascii="Calibri" w:hAnsi="Calibri" w:eastAsia="Calibri"/>
          <w:color w:val="111111"/>
        </w:rPr>
        <w:t>Annex I: petrol ve yağlı atıklar</w:t>
      </w:r>
    </w:p>
    <w:p>
      <w:pPr>
        <w:spacing w:before="0" w:after="80" w:line="300" w:lineRule="auto"/>
        <w:numPr>
          <w:ilvl w:val="0"/>
          <w:numId w:val="10"/>
        </w:numPr>
      </w:pPr>
      <w:r>
        <w:rPr>
          <w:rFonts w:ascii="Calibri" w:hAnsi="Calibri" w:eastAsia="Calibri"/>
          <w:color w:val="111111"/>
        </w:rPr>
        <w:t>Annex II: dökme zararlı sıvılar ve IBC bağlantısı</w:t>
      </w:r>
    </w:p>
    <w:p>
      <w:pPr>
        <w:spacing w:before="0" w:after="80" w:line="300" w:lineRule="auto"/>
        <w:numPr>
          <w:ilvl w:val="0"/>
          <w:numId w:val="10"/>
        </w:numPr>
      </w:pPr>
      <w:r>
        <w:rPr>
          <w:rFonts w:ascii="Calibri" w:hAnsi="Calibri" w:eastAsia="Calibri"/>
          <w:color w:val="111111"/>
        </w:rPr>
        <w:t>Annex III: paketli zararlı maddeler ve IMDG bağlantısı</w:t>
      </w:r>
    </w:p>
    <w:p>
      <w:pPr>
        <w:spacing w:before="0" w:after="80" w:line="300" w:lineRule="auto"/>
        <w:numPr>
          <w:ilvl w:val="0"/>
          <w:numId w:val="10"/>
        </w:numPr>
      </w:pPr>
      <w:r>
        <w:rPr>
          <w:rFonts w:ascii="Calibri" w:hAnsi="Calibri" w:eastAsia="Calibri"/>
          <w:color w:val="111111"/>
        </w:rPr>
        <w:t>Annex IV: pis su; Annex V: çöp/yük kalıntıları; Annex VI: emisyon/yakıt</w:t>
      </w:r>
    </w:p>
    <w:p>
      <w:pPr>
        <w:spacing w:before="0" w:after="80" w:line="300" w:lineRule="auto"/>
        <w:numPr>
          <w:ilvl w:val="0"/>
          <w:numId w:val="10"/>
        </w:numPr>
      </w:pPr>
      <w:r>
        <w:rPr>
          <w:rFonts w:ascii="Calibri" w:hAnsi="Calibri" w:eastAsia="Calibri"/>
          <w:color w:val="111111"/>
        </w:rPr>
        <w:t>Port reception facility, atık teslim makbuzları ve kayıt defterleri</w:t>
      </w:r>
    </w:p>
    <w:p>
      <w:pPr>
        <w:spacing w:before="0" w:after="80" w:line="300" w:lineRule="auto"/>
        <w:numPr>
          <w:ilvl w:val="0"/>
          <w:numId w:val="10"/>
        </w:numPr>
      </w:pPr>
      <w:r>
        <w:rPr>
          <w:rFonts w:ascii="Calibri" w:hAnsi="Calibri" w:eastAsia="Calibri"/>
          <w:color w:val="111111"/>
        </w:rPr>
        <w:t>Prewash, tank yıkama, slop, SOPEP/SMPEP, yakıt ve emisyon verileri</w:t>
      </w:r>
    </w:p>
    <w:p>
      <w:pPr>
        <w:spacing w:before="0" w:after="80" w:line="300" w:lineRule="auto"/>
        <w:numPr>
          <w:ilvl w:val="0"/>
          <w:numId w:val="10"/>
        </w:numPr>
      </w:pPr>
      <w:r>
        <w:rPr>
          <w:rFonts w:ascii="Calibri" w:hAnsi="Calibri" w:eastAsia="Calibri"/>
          <w:color w:val="111111"/>
        </w:rPr>
        <w:t>Logfiks karbon/emisyon raporlama modülü bağlantısı</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MARPOL, yük kabul ekranından ziyade gemi ve yük kaynaklı çevresel uyum katmanı olmalıdır.</w:t>
            </w:r>
          </w:p>
        </w:tc>
      </w:tr>
    </w:tbl>
    <w:p>
      <w:pPr>
        <w:spacing w:after="40"/>
      </w:pPr>
    </w:p>
    <w:p>
      <w:pPr>
        <w:pStyle w:val="Heading2"/>
        <w:keepNext/>
      </w:pPr>
      <w:r>
        <w:t>4.12. ICAO / IATA DGR – Havayolu</w:t>
      </w:r>
    </w:p>
    <w:p>
      <w:pPr>
        <w:spacing w:before="0" w:after="80" w:line="300" w:lineRule="auto"/>
        <w:numPr>
          <w:ilvl w:val="0"/>
          <w:numId w:val="10"/>
        </w:numPr>
      </w:pPr>
      <w:r>
        <w:rPr>
          <w:rFonts w:ascii="Calibri" w:hAnsi="Calibri" w:eastAsia="Calibri"/>
          <w:color w:val="111111"/>
        </w:rPr>
        <w:t>Passenger Aircraft/Cargo Aircraft Only ve yasak yük kontrolü</w:t>
      </w:r>
    </w:p>
    <w:p>
      <w:pPr>
        <w:spacing w:before="0" w:after="80" w:line="300" w:lineRule="auto"/>
        <w:numPr>
          <w:ilvl w:val="0"/>
          <w:numId w:val="10"/>
        </w:numPr>
      </w:pPr>
      <w:r>
        <w:rPr>
          <w:rFonts w:ascii="Calibri" w:hAnsi="Calibri" w:eastAsia="Calibri"/>
          <w:color w:val="111111"/>
        </w:rPr>
        <w:t>State variations ve operator variations</w:t>
      </w:r>
    </w:p>
    <w:p>
      <w:pPr>
        <w:spacing w:before="0" w:after="80" w:line="300" w:lineRule="auto"/>
        <w:numPr>
          <w:ilvl w:val="0"/>
          <w:numId w:val="10"/>
        </w:numPr>
      </w:pPr>
      <w:r>
        <w:rPr>
          <w:rFonts w:ascii="Calibri" w:hAnsi="Calibri" w:eastAsia="Calibri"/>
          <w:color w:val="111111"/>
        </w:rPr>
        <w:t>Packing Instruction, Section ve net miktar limitleri</w:t>
      </w:r>
    </w:p>
    <w:p>
      <w:pPr>
        <w:spacing w:before="0" w:after="80" w:line="300" w:lineRule="auto"/>
        <w:numPr>
          <w:ilvl w:val="0"/>
          <w:numId w:val="10"/>
        </w:numPr>
      </w:pPr>
      <w:r>
        <w:rPr>
          <w:rFonts w:ascii="Calibri" w:hAnsi="Calibri" w:eastAsia="Calibri"/>
          <w:color w:val="111111"/>
        </w:rPr>
        <w:t>Overpack, Shipper’s Declaration, Air Waybill ve kabul kontrol listesi</w:t>
      </w:r>
    </w:p>
    <w:p>
      <w:pPr>
        <w:spacing w:before="0" w:after="80" w:line="300" w:lineRule="auto"/>
        <w:numPr>
          <w:ilvl w:val="0"/>
          <w:numId w:val="10"/>
        </w:numPr>
      </w:pPr>
      <w:r>
        <w:rPr>
          <w:rFonts w:ascii="Calibri" w:hAnsi="Calibri" w:eastAsia="Calibri"/>
          <w:color w:val="111111"/>
        </w:rPr>
        <w:t>Radyoaktif, biyolojik, kuru buz, manyetize malzeme ve diğer özel yükler</w:t>
      </w:r>
    </w:p>
    <w:p>
      <w:pPr>
        <w:spacing w:before="0" w:after="80" w:line="300" w:lineRule="auto"/>
        <w:numPr>
          <w:ilvl w:val="0"/>
          <w:numId w:val="10"/>
        </w:numPr>
      </w:pPr>
      <w:r>
        <w:rPr>
          <w:rFonts w:ascii="Calibri" w:hAnsi="Calibri" w:eastAsia="Calibri"/>
          <w:color w:val="111111"/>
        </w:rPr>
        <w:t>Lityum/sodyum bataryalar: UN 38.3, Wh/lityum içeriği, hücre/batarya sayısı ve SoC</w:t>
      </w:r>
    </w:p>
    <w:p>
      <w:pPr>
        <w:spacing w:before="0" w:after="80" w:line="300" w:lineRule="auto"/>
        <w:numPr>
          <w:ilvl w:val="0"/>
          <w:numId w:val="10"/>
        </w:numPr>
      </w:pPr>
      <w:r>
        <w:rPr>
          <w:rFonts w:ascii="Calibri" w:hAnsi="Calibri" w:eastAsia="Calibri"/>
          <w:color w:val="111111"/>
        </w:rPr>
        <w:t>Hasarlı/kusurlu/prototip batarya, hava yolu/havaalanı kabulü ve e-DGD/Cargo-XML</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7A5A00"/>
                <w:sz w:val="20"/>
              </w:rPr>
              <w:t xml:space="preserve">Sürüm/konumlandırma notu: </w:t>
            </w:r>
            <w:r>
              <w:rPr>
                <w:rFonts w:ascii="Calibri" w:hAnsi="Calibri" w:eastAsia="Calibri"/>
                <w:color w:val="111111"/>
                <w:sz w:val="20"/>
              </w:rPr>
              <w:t>ICAO TI 2025–2026 ve IATA DGR 67. Baskı (2026) birlikte izlenmelidir.</w:t>
            </w:r>
          </w:p>
        </w:tc>
      </w:tr>
    </w:tbl>
    <w:p>
      <w:pPr>
        <w:spacing w:after="40"/>
      </w:pPr>
    </w:p>
    <w:p>
      <w:pPr>
        <w:pStyle w:val="Heading1"/>
        <w:keepNext/>
      </w:pPr>
      <w:r>
        <w:t>5. Ortak Veri Sözlüğü</w:t>
      </w:r>
    </w:p>
    <w:p>
      <w:pPr>
        <w:spacing w:after="160" w:line="300" w:lineRule="auto"/>
      </w:pPr>
      <w:r>
        <w:rPr>
          <w:rFonts w:ascii="Calibri" w:hAnsi="Calibri" w:eastAsia="Calibri"/>
          <w:color w:val="111111"/>
          <w:sz w:val="22"/>
        </w:rPr>
        <w:t>Aşağıdaki veri nesneleri, tüm taşıma modlarında ortak ana veri yaklaşımını kurar. Moda özgü alanlar bu nesnelere ek tablolarla bağlanmalıdır; aynı yük, taraf veya belge farklı modüllerde yeniden yaratılmamalıdır.</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2200"/>
        <w:gridCol w:w="7160"/>
      </w:tblGrid>
      <w:tr>
        <w:trPr>
          <w:tblHeader w:val="true"/>
        </w:trPr>
        <w:tc>
          <w:tcPr>
            <w:tcW w:type="dxa" w:w="22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Veri Nesnesi</w:t>
            </w:r>
          </w:p>
        </w:tc>
        <w:tc>
          <w:tcPr>
            <w:tcW w:type="dxa" w:w="716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Asgari Alanlar</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Yük/Sevkiyat</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shipment_id; müşteri; gönderici; alıcı; taşıyıcı; yükleyen; boşaltan; başlangıç/varış; transit ülkeler; planlanan/gerçekleşen tarih; durum</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Taşıma Ayağı</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leg_id; sıra; mod; başlangıç/varış; ülke; liman/terminal/istasyon/havaalanı; operatör; planlanan/gerçek zaman</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Madde/Eşya</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UN No; PSN; teknik ad; CAS/EC; sınıf; tali tehlike; ambalaj grubu; sınıflandırma kodu; fiziksel durum; parlama noktası; çevresel işaretler</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Bileşim/SDS</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üretici; ürün kodu; konsantrasyon; SDS sürümü/tarihi; Bölüm 2/3/9/14 verileri; sınıflandırma kaynağı; uyuşmazlık sonucu</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Miktar</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net/brüt miktar; birim; paket sayısı; birim paket miktarı; yoğunluk; toplam puan; muafiyet hesabı</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Ambalaj</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tip; UN kodu; PI; özel hüküm; iç/dış yapı; kapasite; test seviyesi; üretici; seri/parti; test tarihi; kapatma talimatı</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Tank/IBC</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tip/kod; kapasite; tasarım/test basıncı; malzeme/kaplama; son/sonraki muayene; sertifika; dolum oranı</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Taşıma Ünitesi</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araç/vagon/CTU/konteyner/gemi/uçak kimliği; tip; sahip; plaka; CSC; uygunluk; azami ağırlık; ekipman</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Rota/Kısıt</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ülke; tünel; yol; liman; terminal; istasyon; havaalanı; operatör; yasak/kısıt; başlangıç-bitiş tarihi</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Personel</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kişi; kuruluş; rol; görev; sertifika; eğitim; kapsam; düzenleyen; geçerlilik; sınav; yetki</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Belge</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tip; numara; düzenleyen; tarih; geçerlilik; sürüm; dil; dosya; elektronik imza; doğrulama sonucu</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Kural Sonucu</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rule_id; kontrol; sonuç; gerekçe; kaynak; madde; sürüm; girdi özeti; zaman; sistem/uzman/onaylayan</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İstisna/Onay</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tür; yetkili makam; karar no; ülke; kapsam; koşul; başlangıç/bitiş; dayanak</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Kanıt</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fotoğraf; video; dosya; sensör; konum; zaman damgası; imza; hash; yükleyen/doğrulayan</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Olay/DÖF</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olay türü; tarih/konum; yük; etki; müdahale; bildirim; kök neden; faaliyet; sorumlu; kapanış</w:t>
            </w:r>
          </w:p>
        </w:tc>
      </w:tr>
    </w:tbl>
    <w:p>
      <w:pPr>
        <w:spacing w:after="40" w:before="0"/>
      </w:pPr>
    </w:p>
    <w:p>
      <w:pPr>
        <w:pStyle w:val="Heading2"/>
        <w:keepNext/>
      </w:pPr>
      <w:r>
        <w:t>5.1. Kural Sonucu İçin Zorunlu İzlenebilirlik</w:t>
      </w:r>
    </w:p>
    <w:p>
      <w:pPr>
        <w:spacing w:before="0" w:after="80" w:line="300" w:lineRule="auto"/>
        <w:numPr>
          <w:ilvl w:val="0"/>
          <w:numId w:val="10"/>
        </w:numPr>
      </w:pPr>
      <w:r>
        <w:rPr>
          <w:rFonts w:ascii="Calibri" w:hAnsi="Calibri" w:eastAsia="Calibri"/>
          <w:color w:val="111111"/>
        </w:rPr>
        <w:t>Kullanılan mevzuat/kural sürümü ve yürürlük tarihi</w:t>
      </w:r>
    </w:p>
    <w:p>
      <w:pPr>
        <w:spacing w:before="0" w:after="80" w:line="300" w:lineRule="auto"/>
        <w:numPr>
          <w:ilvl w:val="0"/>
          <w:numId w:val="10"/>
        </w:numPr>
      </w:pPr>
      <w:r>
        <w:rPr>
          <w:rFonts w:ascii="Calibri" w:hAnsi="Calibri" w:eastAsia="Calibri"/>
          <w:color w:val="111111"/>
        </w:rPr>
        <w:t>Kaynak belge ve madde/paragraf referansı</w:t>
      </w:r>
    </w:p>
    <w:p>
      <w:pPr>
        <w:spacing w:before="0" w:after="80" w:line="300" w:lineRule="auto"/>
        <w:numPr>
          <w:ilvl w:val="0"/>
          <w:numId w:val="10"/>
        </w:numPr>
      </w:pPr>
      <w:r>
        <w:rPr>
          <w:rFonts w:ascii="Calibri" w:hAnsi="Calibri" w:eastAsia="Calibri"/>
          <w:color w:val="111111"/>
        </w:rPr>
        <w:t>Kontrolde kullanılan girdi alanları ve değerleri</w:t>
      </w:r>
    </w:p>
    <w:p>
      <w:pPr>
        <w:spacing w:before="0" w:after="80" w:line="300" w:lineRule="auto"/>
        <w:numPr>
          <w:ilvl w:val="0"/>
          <w:numId w:val="10"/>
        </w:numPr>
      </w:pPr>
      <w:r>
        <w:rPr>
          <w:rFonts w:ascii="Calibri" w:hAnsi="Calibri" w:eastAsia="Calibri"/>
          <w:color w:val="111111"/>
        </w:rPr>
        <w:t>Kural motoru ve parser sürümü</w:t>
      </w:r>
    </w:p>
    <w:p>
      <w:pPr>
        <w:spacing w:before="0" w:after="80" w:line="300" w:lineRule="auto"/>
        <w:numPr>
          <w:ilvl w:val="0"/>
          <w:numId w:val="10"/>
        </w:numPr>
      </w:pPr>
      <w:r>
        <w:rPr>
          <w:rFonts w:ascii="Calibri" w:hAnsi="Calibri" w:eastAsia="Calibri"/>
          <w:color w:val="111111"/>
        </w:rPr>
        <w:t>Otomatik sonuç, uzman kararı ve varsa yönetici onayı</w:t>
      </w:r>
    </w:p>
    <w:p>
      <w:pPr>
        <w:spacing w:before="0" w:after="80" w:line="300" w:lineRule="auto"/>
        <w:numPr>
          <w:ilvl w:val="0"/>
          <w:numId w:val="10"/>
        </w:numPr>
      </w:pPr>
      <w:r>
        <w:rPr>
          <w:rFonts w:ascii="Calibri" w:hAnsi="Calibri" w:eastAsia="Calibri"/>
          <w:color w:val="111111"/>
        </w:rPr>
        <w:t>İstisna/özel izin ve geçerlilik koşulları</w:t>
      </w:r>
    </w:p>
    <w:p>
      <w:pPr>
        <w:spacing w:before="0" w:after="80" w:line="300" w:lineRule="auto"/>
        <w:numPr>
          <w:ilvl w:val="0"/>
          <w:numId w:val="10"/>
        </w:numPr>
      </w:pPr>
      <w:r>
        <w:rPr>
          <w:rFonts w:ascii="Calibri" w:hAnsi="Calibri" w:eastAsia="Calibri"/>
          <w:color w:val="111111"/>
        </w:rPr>
        <w:t>Kararın zaman damgası, değişiklik geçmişi ve silinemez denetim izi</w:t>
      </w:r>
    </w:p>
    <w:p>
      <w:pPr>
        <w:pStyle w:val="Heading1"/>
        <w:keepNext/>
      </w:pPr>
      <w:r>
        <w:t>6. Kaynak Yönetimi ve Kaynak Ekleme Listesi</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2200"/>
        <w:gridCol w:w="7160"/>
      </w:tblGrid>
      <w:tr>
        <w:trPr>
          <w:tblHeader w:val="true"/>
        </w:trPr>
        <w:tc>
          <w:tcPr>
            <w:tcW w:type="dxa" w:w="22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Alan Grubu</w:t>
            </w:r>
          </w:p>
        </w:tc>
        <w:tc>
          <w:tcPr>
            <w:tcW w:type="dxa" w:w="716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8"/>
              </w:rPr>
              <w:t>Tutulacak Veriler</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Kimlik</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source_id; kaynak/kod adı; düzenleyen kurum; taşıma modu; ülke/yargı alanı</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Sürüm</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baskı/değişiklik; kabul tarihi; yürürlük; zorunlu uygulama; geçiş; yürürlükten kalkma</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İçerik</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dil; bölüm; madde/paragraf; resmî URL; dosya; dosya hash; değişiklik özeti</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Lisans</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telif/lisans sınıfı; kurum içi kullanım; SaaS gösterim; yeniden dağıtım/API hakkı</w:t>
            </w:r>
          </w:p>
        </w:tc>
      </w:tr>
      <w:tr>
        <w:tc>
          <w:tcPr>
            <w:tcW w:type="dxa" w:w="2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Alım</w:t>
            </w:r>
          </w:p>
        </w:tc>
        <w:tc>
          <w:tcPr>
            <w:tcW w:type="dxa" w:w="71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API/XML/Excel/PDF/manuel; parser sürümü; güncelleme sıklığı; son kontrol tarihi</w:t>
            </w:r>
          </w:p>
        </w:tc>
      </w:tr>
      <w:tr>
        <w:tc>
          <w:tcPr>
            <w:tcW w:type="dxa" w:w="2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Yönetişim</w:t>
            </w:r>
          </w:p>
        </w:tc>
        <w:tc>
          <w:tcPr>
            <w:tcW w:type="dxa" w:w="71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8"/>
              </w:rPr>
              <w:t>doğrulayan uzman; önceki/sonraki kaynak; etkilenen kural; test; onay/yayın durumu</w:t>
            </w:r>
          </w:p>
        </w:tc>
      </w:tr>
    </w:tbl>
    <w:p>
      <w:pPr>
        <w:spacing w:after="40" w:before="0"/>
      </w:pPr>
    </w:p>
    <w:p>
      <w:pPr>
        <w:pStyle w:val="Heading2"/>
        <w:keepNext/>
      </w:pPr>
      <w:r>
        <w:t>6.1. Kaynak Ekleme Envanteri</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1500"/>
        <w:gridCol w:w="4200"/>
        <w:gridCol w:w="1900"/>
        <w:gridCol w:w="1760"/>
      </w:tblGrid>
      <w:tr>
        <w:trPr>
          <w:tblHeader w:val="true"/>
        </w:trPr>
        <w:tc>
          <w:tcPr>
            <w:tcW w:type="dxa" w:w="15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6"/>
              </w:rPr>
              <w:t>Grup</w:t>
            </w:r>
          </w:p>
        </w:tc>
        <w:tc>
          <w:tcPr>
            <w:tcW w:type="dxa" w:w="42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6"/>
              </w:rPr>
              <w:t>Kaynaklar</w:t>
            </w:r>
          </w:p>
        </w:tc>
        <w:tc>
          <w:tcPr>
            <w:tcW w:type="dxa" w:w="19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6"/>
              </w:rPr>
              <w:t>Otorite</w:t>
            </w:r>
          </w:p>
        </w:tc>
        <w:tc>
          <w:tcPr>
            <w:tcW w:type="dxa" w:w="176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6"/>
              </w:rPr>
              <w:t>Güncelleme</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UN Ana</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UN Model Regulations Rev.24; GHS Rev.11; UN numarası ve sınıflandırma yapısı</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UNECE</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İki yıllık döngü + düzeltmeler</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Karayolu</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ADR 2025; corrigenda; çok taraflı anlaşmalar; ulusal rota/tünel kuralları</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UNECE + Yetkili Makamlar</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Sürüm ve anlaşma bazlı</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Demiryolu</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RID 2025; corrigenda; geçici istisnalar; altyapı yöneticisi kuralları</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OTIF + Ulusal Kurumlar</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Sürüm ve istisna bazlı</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Paketli Deniz</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IMDG 42-24; Supplement; errata/corrigenda; EmS; MFAG</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Değişiklik çevrimi + ara düzeltme</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Katı Dökme</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IMSBC; 07-23/08-25 profilleri; BLU Code/Manual</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Profil ve yürürlük bazlı</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Kimyasal Tanker</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IBC Code; MARPOL Annex II; MSC/MEPC kararları</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Karar ve supplement bazlı</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Gaz Tankeri</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IGC Code; MSC değişiklikleri</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Karar ve supplement bazlı</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Tahıl</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Grain Code; gemiye özel Grain Loading Manual</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 + Gemi</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Kod + gemi revizyonu</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CTU/Yük Emniyeti</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CTU Code; informative material; CSS; TDC</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IMO/ILO/UNECE</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Kod ve sirküler bazlı</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Çevresel</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MARPOL ve ekleri; IMO supplement/corrigenda</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IMO</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Karar/supplement bazlı</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Havayolu</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ICAO Doc 9284; addenda/corrigenda; IATA DGR; state/operator variations</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ICAO/IATA</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Yıllık + ara değişiklik</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Türkiye Kara/Demir</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UAB/UHDGM mevzuatı; TMFB; TMGD; SRC-5; araç/vagon belgeleri</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UAB/UHDGM</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Resmî duyuru ve mevzuat</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Türkiye Deniz</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UAB uygulama talimatları; TYUB; DBA/VGM; deniz gözetim süreçleri</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UAB Denizcilik</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Talimat ve teknik doküman</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Türkiye Hava</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SHGM SHT-18; CBTA-DGR; operasyon direktifleri ve bültenler</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SHGM</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Talimat/direktif bazlı</w:t>
            </w:r>
          </w:p>
        </w:tc>
      </w:tr>
      <w:tr>
        <w:tc>
          <w:tcPr>
            <w:tcW w:type="dxa" w:w="15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Operasyonel</w:t>
            </w:r>
          </w:p>
        </w:tc>
        <w:tc>
          <w:tcPr>
            <w:tcW w:type="dxa" w:w="42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SDS; üretici sınıflandırması; ambalaj/tank sertifikaları; taşıyıcı/terminal kuralları</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Tedarikçi/Operatör</w:t>
            </w:r>
          </w:p>
        </w:tc>
        <w:tc>
          <w:tcPr>
            <w:tcW w:type="dxa" w:w="17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Belge ve sözleşme bazlı</w:t>
            </w:r>
          </w:p>
        </w:tc>
      </w:tr>
      <w:tr>
        <w:tc>
          <w:tcPr>
            <w:tcW w:type="dxa" w:w="15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6"/>
              </w:rPr>
              <w:t>Dinamik</w:t>
            </w:r>
          </w:p>
        </w:tc>
        <w:tc>
          <w:tcPr>
            <w:tcW w:type="dxa" w:w="42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Liman bildirileri; rota; hava/deniz; sensör/telematik; geçici kısıtlar</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Yetkili Kaynaklar</w:t>
            </w:r>
          </w:p>
        </w:tc>
        <w:tc>
          <w:tcPr>
            <w:tcW w:type="dxa" w:w="17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6"/>
              </w:rPr>
              <w:t>Saatlik/günlük/olay bazlı</w:t>
            </w:r>
          </w:p>
        </w:tc>
      </w:tr>
    </w:tbl>
    <w:p>
      <w:pPr>
        <w:spacing w:after="40" w:before="0"/>
      </w:pPr>
    </w:p>
    <w:p>
      <w:pPr>
        <w:pStyle w:val="Heading2"/>
        <w:keepNext/>
      </w:pPr>
      <w:r>
        <w:t>6.2. Lisans ve Telif Kontrolü</w:t>
      </w: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9B1C1C"/>
                <w:sz w:val="20"/>
              </w:rPr>
              <w:t xml:space="preserve">Kritik kontrol: </w:t>
            </w:r>
            <w:r>
              <w:rPr>
                <w:rFonts w:ascii="Calibri" w:hAnsi="Calibri" w:eastAsia="Calibri"/>
                <w:color w:val="111111"/>
                <w:sz w:val="20"/>
              </w:rPr>
              <w:t>ADR/RID gibi erişilebilir resmî metinler ile IMO, ICAO ve IATA’nın ticari yayınları aynı yöntemle veri tabanına alınmamalıdır. Tam metin, tablo veya ticari veri setinin SaaS içinde çoğaltılması için kurumsal veri kullanım ve yeniden dağıtım hakları ayrıca doğrulanmalıdır.</w:t>
            </w:r>
          </w:p>
        </w:tc>
      </w:tr>
    </w:tbl>
    <w:p>
      <w:pPr>
        <w:spacing w:after="40"/>
      </w:pPr>
    </w:p>
    <w:p>
      <w:pPr>
        <w:spacing w:before="0" w:after="80" w:line="300" w:lineRule="auto"/>
        <w:numPr>
          <w:ilvl w:val="0"/>
          <w:numId w:val="10"/>
        </w:numPr>
      </w:pPr>
      <w:r>
        <w:rPr>
          <w:rFonts w:ascii="Calibri" w:hAnsi="Calibri" w:eastAsia="Calibri"/>
          <w:color w:val="111111"/>
        </w:rPr>
        <w:t>Lisans alınmayan kaynaklarda tam metin yerine madde referansı, kural kimliği ve şirket içi yorum kullanılmalıdır.</w:t>
      </w:r>
    </w:p>
    <w:p>
      <w:pPr>
        <w:spacing w:before="0" w:after="80" w:line="300" w:lineRule="auto"/>
        <w:numPr>
          <w:ilvl w:val="0"/>
          <w:numId w:val="10"/>
        </w:numPr>
      </w:pPr>
      <w:r>
        <w:rPr>
          <w:rFonts w:ascii="Calibri" w:hAnsi="Calibri" w:eastAsia="Calibri"/>
          <w:color w:val="111111"/>
        </w:rPr>
        <w:t>Her kaynak için kurum içi kullanım, müşteri ekranında gösterim, API ile paylaşım ve arşivleme hakları ayrı kaydedilmelidir.</w:t>
      </w:r>
    </w:p>
    <w:p>
      <w:pPr>
        <w:spacing w:before="0" w:after="80" w:line="300" w:lineRule="auto"/>
        <w:numPr>
          <w:ilvl w:val="0"/>
          <w:numId w:val="10"/>
        </w:numPr>
      </w:pPr>
      <w:r>
        <w:rPr>
          <w:rFonts w:ascii="Calibri" w:hAnsi="Calibri" w:eastAsia="Calibri"/>
          <w:color w:val="111111"/>
        </w:rPr>
        <w:t>Kaynak güncellemesi yayınlanmadan önce mevzuat uzmanı onayı, regresyon testi ve etkin tarih kontrolü tamamlanmalıdır.</w:t>
      </w:r>
    </w:p>
    <w:p>
      <w:pPr>
        <w:pStyle w:val="Heading1"/>
        <w:keepNext/>
      </w:pPr>
      <w:r>
        <w:t>7. Entegrasyon, Yetkilendirme ve Kanıt Yönetimi</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1800"/>
        <w:gridCol w:w="3300"/>
        <w:gridCol w:w="4260"/>
      </w:tblGrid>
      <w:tr>
        <w:trPr>
          <w:tblHeader w:val="true"/>
        </w:trPr>
        <w:tc>
          <w:tcPr>
            <w:tcW w:type="dxa" w:w="18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Sistem</w:t>
            </w:r>
          </w:p>
        </w:tc>
        <w:tc>
          <w:tcPr>
            <w:tcW w:type="dxa" w:w="33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Veri/İşlev</w:t>
            </w:r>
          </w:p>
        </w:tc>
        <w:tc>
          <w:tcPr>
            <w:tcW w:type="dxa" w:w="426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Kontrol İlkesi</w:t>
            </w:r>
          </w:p>
        </w:tc>
      </w:tr>
      <w:tr>
        <w:tc>
          <w:tcPr>
            <w:tcW w:type="dxa" w:w="18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Bi’yük</w:t>
            </w:r>
          </w:p>
        </w:tc>
        <w:tc>
          <w:tcPr>
            <w:tcW w:type="dxa" w:w="33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Kullanıcı/fırsat ve ilk yük talebi</w:t>
            </w:r>
          </w:p>
        </w:tc>
        <w:tc>
          <w:tcPr>
            <w:tcW w:type="dxa" w:w="42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Taslak; resmî operasyon verisi değildir</w:t>
            </w:r>
          </w:p>
        </w:tc>
      </w:tr>
      <w:tr>
        <w:tc>
          <w:tcPr>
            <w:tcW w:type="dxa" w:w="18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YükBulAraçBul</w:t>
            </w:r>
          </w:p>
        </w:tc>
        <w:tc>
          <w:tcPr>
            <w:tcW w:type="dxa" w:w="33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Ticari eşleşme, navlun/teklif ve ön U-ETDS verisi</w:t>
            </w:r>
          </w:p>
        </w:tc>
        <w:tc>
          <w:tcPr>
            <w:tcW w:type="dxa" w:w="42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Logfiks doğrulaması olmadan resmî bildirim yapılmaz</w:t>
            </w:r>
          </w:p>
        </w:tc>
      </w:tr>
      <w:tr>
        <w:tc>
          <w:tcPr>
            <w:tcW w:type="dxa" w:w="18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Logfiks</w:t>
            </w:r>
          </w:p>
        </w:tc>
        <w:tc>
          <w:tcPr>
            <w:tcW w:type="dxa" w:w="33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Sefer, yük, araç, sürücü, belge, uygunluk ve resmî bildirim</w:t>
            </w:r>
          </w:p>
        </w:tc>
        <w:tc>
          <w:tcPr>
            <w:tcW w:type="dxa" w:w="42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Tek doğrulanmış operasyon kaydı</w:t>
            </w:r>
          </w:p>
        </w:tc>
      </w:tr>
      <w:tr>
        <w:tc>
          <w:tcPr>
            <w:tcW w:type="dxa" w:w="18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3E Akademi</w:t>
            </w:r>
          </w:p>
        </w:tc>
        <w:tc>
          <w:tcPr>
            <w:tcW w:type="dxa" w:w="33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Eğitim ve yetkinlik açığı</w:t>
            </w:r>
          </w:p>
        </w:tc>
        <w:tc>
          <w:tcPr>
            <w:tcW w:type="dxa" w:w="42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Görev–eğitim–sertifika matrisi</w:t>
            </w:r>
          </w:p>
        </w:tc>
      </w:tr>
      <w:tr>
        <w:tc>
          <w:tcPr>
            <w:tcW w:type="dxa" w:w="18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3E Danışmanlık</w:t>
            </w:r>
          </w:p>
        </w:tc>
        <w:tc>
          <w:tcPr>
            <w:tcW w:type="dxa" w:w="33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Mevzuat kural seti ve uzman onayı</w:t>
            </w:r>
          </w:p>
        </w:tc>
        <w:tc>
          <w:tcPr>
            <w:tcW w:type="dxa" w:w="42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Kural sahibinin ve onay tarihinin kaydı</w:t>
            </w:r>
          </w:p>
        </w:tc>
      </w:tr>
      <w:tr>
        <w:tc>
          <w:tcPr>
            <w:tcW w:type="dxa" w:w="18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Gözetim Sistemi</w:t>
            </w:r>
          </w:p>
        </w:tc>
        <w:tc>
          <w:tcPr>
            <w:tcW w:type="dxa" w:w="33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DGİYB/TYDGYB/DGY/TYDGY görevlendirme, rapor, kanıt ve STOP_WORK</w:t>
            </w:r>
          </w:p>
        </w:tc>
        <w:tc>
          <w:tcPr>
            <w:tcW w:type="dxa" w:w="42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Aynı veri kopyalanmaz; API referansı kullanılır</w:t>
            </w:r>
          </w:p>
        </w:tc>
      </w:tr>
      <w:tr>
        <w:tc>
          <w:tcPr>
            <w:tcW w:type="dxa" w:w="180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Sorax/Sensör</w:t>
            </w:r>
          </w:p>
        </w:tc>
        <w:tc>
          <w:tcPr>
            <w:tcW w:type="dxa" w:w="33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Sıcaklık, gaz, kapı, mühür, darbe, konum</w:t>
            </w:r>
          </w:p>
        </w:tc>
        <w:tc>
          <w:tcPr>
            <w:tcW w:type="dxa" w:w="426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Kalibrasyon ve cihaz kimliğiyle kanıt</w:t>
            </w:r>
          </w:p>
        </w:tc>
      </w:tr>
      <w:tr>
        <w:tc>
          <w:tcPr>
            <w:tcW w:type="dxa" w:w="180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Dış Sistemler</w:t>
            </w:r>
          </w:p>
        </w:tc>
        <w:tc>
          <w:tcPr>
            <w:tcW w:type="dxa" w:w="33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U-ETDS; e-Devlet; liman/terminal; e-DGD/Cargo-XML; telematik; WMS/TMS/HR</w:t>
            </w:r>
          </w:p>
        </w:tc>
        <w:tc>
          <w:tcPr>
            <w:tcW w:type="dxa" w:w="426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Kimlik, yetki, hata ve sürüm sözleşmesi</w:t>
            </w:r>
          </w:p>
        </w:tc>
      </w:tr>
    </w:tbl>
    <w:p>
      <w:pPr>
        <w:spacing w:after="40" w:before="0"/>
      </w:pPr>
    </w:p>
    <w:p>
      <w:pPr>
        <w:pStyle w:val="Heading2"/>
        <w:keepNext/>
      </w:pPr>
      <w:r>
        <w:t>7.1. Yetkilendirme İlkeleri</w:t>
      </w:r>
    </w:p>
    <w:p>
      <w:pPr>
        <w:spacing w:before="0" w:after="80" w:line="300" w:lineRule="auto"/>
        <w:numPr>
          <w:ilvl w:val="0"/>
          <w:numId w:val="10"/>
        </w:numPr>
      </w:pPr>
      <w:r>
        <w:rPr>
          <w:rFonts w:ascii="Calibri" w:hAnsi="Calibri" w:eastAsia="Calibri"/>
          <w:color w:val="111111"/>
        </w:rPr>
        <w:t>Firma, şube, müşteri, taşıma modu ve rol bazlı erişim</w:t>
      </w:r>
    </w:p>
    <w:p>
      <w:pPr>
        <w:spacing w:before="0" w:after="80" w:line="300" w:lineRule="auto"/>
        <w:numPr>
          <w:ilvl w:val="0"/>
          <w:numId w:val="10"/>
        </w:numPr>
      </w:pPr>
      <w:r>
        <w:rPr>
          <w:rFonts w:ascii="Calibri" w:hAnsi="Calibri" w:eastAsia="Calibri"/>
          <w:color w:val="111111"/>
        </w:rPr>
        <w:t>Taslak hazırlayan, doğrulayan, mevzuat uzmanı ve nihai onaylayan görev ayrılığı</w:t>
      </w:r>
    </w:p>
    <w:p>
      <w:pPr>
        <w:spacing w:before="0" w:after="80" w:line="300" w:lineRule="auto"/>
        <w:numPr>
          <w:ilvl w:val="0"/>
          <w:numId w:val="10"/>
        </w:numPr>
      </w:pPr>
      <w:r>
        <w:rPr>
          <w:rFonts w:ascii="Calibri" w:hAnsi="Calibri" w:eastAsia="Calibri"/>
          <w:color w:val="111111"/>
        </w:rPr>
        <w:t>Kritik kural ve kaynak değişikliklerinde dört göz/onay mekanizması</w:t>
      </w:r>
    </w:p>
    <w:p>
      <w:pPr>
        <w:spacing w:before="0" w:after="80" w:line="300" w:lineRule="auto"/>
        <w:numPr>
          <w:ilvl w:val="0"/>
          <w:numId w:val="10"/>
        </w:numPr>
      </w:pPr>
      <w:r>
        <w:rPr>
          <w:rFonts w:ascii="Calibri" w:hAnsi="Calibri" w:eastAsia="Calibri"/>
          <w:color w:val="111111"/>
        </w:rPr>
        <w:t>STOP_WORK kaldırma işleminin gerekçe, yetki ve kanıtla sınırlandırılması</w:t>
      </w:r>
    </w:p>
    <w:p>
      <w:pPr>
        <w:spacing w:before="0" w:after="80" w:line="300" w:lineRule="auto"/>
        <w:numPr>
          <w:ilvl w:val="0"/>
          <w:numId w:val="10"/>
        </w:numPr>
      </w:pPr>
      <w:r>
        <w:rPr>
          <w:rFonts w:ascii="Calibri" w:hAnsi="Calibri" w:eastAsia="Calibri"/>
          <w:color w:val="111111"/>
        </w:rPr>
        <w:t>Değiştirilemez denetim izi ve elektronik imza/zaman damgası</w:t>
      </w:r>
    </w:p>
    <w:p>
      <w:pPr>
        <w:spacing w:before="0" w:after="80" w:line="300" w:lineRule="auto"/>
        <w:numPr>
          <w:ilvl w:val="0"/>
          <w:numId w:val="10"/>
        </w:numPr>
      </w:pPr>
      <w:r>
        <w:rPr>
          <w:rFonts w:ascii="Calibri" w:hAnsi="Calibri" w:eastAsia="Calibri"/>
          <w:color w:val="111111"/>
        </w:rPr>
        <w:t>KVKK, ticari sır ve müşteri verisi için veri minimizasyonu ve saklama politikası</w:t>
      </w:r>
    </w:p>
    <w:p>
      <w:pPr>
        <w:pStyle w:val="Heading2"/>
        <w:keepNext/>
      </w:pPr>
      <w:r>
        <w:t>7.2. Entegrasyon Sözleşmesi İçin Zorunlu Alanlar</w:t>
      </w:r>
    </w:p>
    <w:p>
      <w:pPr>
        <w:spacing w:before="0" w:after="80" w:line="300" w:lineRule="auto"/>
        <w:numPr>
          <w:ilvl w:val="0"/>
          <w:numId w:val="10"/>
        </w:numPr>
      </w:pPr>
      <w:r>
        <w:rPr>
          <w:rFonts w:ascii="Calibri" w:hAnsi="Calibri" w:eastAsia="Calibri"/>
          <w:color w:val="111111"/>
        </w:rPr>
        <w:t>Veri alanı, veri tipi, zorunluluk ve sahiplik</w:t>
      </w:r>
    </w:p>
    <w:p>
      <w:pPr>
        <w:spacing w:before="0" w:after="80" w:line="300" w:lineRule="auto"/>
        <w:numPr>
          <w:ilvl w:val="0"/>
          <w:numId w:val="10"/>
        </w:numPr>
      </w:pPr>
      <w:r>
        <w:rPr>
          <w:rFonts w:ascii="Calibri" w:hAnsi="Calibri" w:eastAsia="Calibri"/>
          <w:color w:val="111111"/>
        </w:rPr>
        <w:t>Kimlik doğrulama, rol ve yetki</w:t>
      </w:r>
    </w:p>
    <w:p>
      <w:pPr>
        <w:spacing w:before="0" w:after="80" w:line="300" w:lineRule="auto"/>
        <w:numPr>
          <w:ilvl w:val="0"/>
          <w:numId w:val="10"/>
        </w:numPr>
      </w:pPr>
      <w:r>
        <w:rPr>
          <w:rFonts w:ascii="Calibri" w:hAnsi="Calibri" w:eastAsia="Calibri"/>
          <w:color w:val="111111"/>
        </w:rPr>
        <w:t>Aktarım sıklığı ve gecikme toleransı</w:t>
      </w:r>
    </w:p>
    <w:p>
      <w:pPr>
        <w:spacing w:before="0" w:after="80" w:line="300" w:lineRule="auto"/>
        <w:numPr>
          <w:ilvl w:val="0"/>
          <w:numId w:val="10"/>
        </w:numPr>
      </w:pPr>
      <w:r>
        <w:rPr>
          <w:rFonts w:ascii="Calibri" w:hAnsi="Calibri" w:eastAsia="Calibri"/>
          <w:color w:val="111111"/>
        </w:rPr>
        <w:t>Hata kodları, tekrar deneme ve manuel işlem</w:t>
      </w:r>
    </w:p>
    <w:p>
      <w:pPr>
        <w:spacing w:before="0" w:after="80" w:line="300" w:lineRule="auto"/>
        <w:numPr>
          <w:ilvl w:val="0"/>
          <w:numId w:val="10"/>
        </w:numPr>
      </w:pPr>
      <w:r>
        <w:rPr>
          <w:rFonts w:ascii="Calibri" w:hAnsi="Calibri" w:eastAsia="Calibri"/>
          <w:color w:val="111111"/>
        </w:rPr>
        <w:t>Versiyon uyumluluğu ve geriye dönük çalışma</w:t>
      </w:r>
    </w:p>
    <w:p>
      <w:pPr>
        <w:spacing w:before="0" w:after="80" w:line="300" w:lineRule="auto"/>
        <w:numPr>
          <w:ilvl w:val="0"/>
          <w:numId w:val="10"/>
        </w:numPr>
      </w:pPr>
      <w:r>
        <w:rPr>
          <w:rFonts w:ascii="Calibri" w:hAnsi="Calibri" w:eastAsia="Calibri"/>
          <w:color w:val="111111"/>
        </w:rPr>
        <w:t>Müşteri rızası, lisans ve paylaşım sınırı</w:t>
      </w:r>
    </w:p>
    <w:p>
      <w:pPr>
        <w:spacing w:before="0" w:after="80" w:line="300" w:lineRule="auto"/>
        <w:numPr>
          <w:ilvl w:val="0"/>
          <w:numId w:val="10"/>
        </w:numPr>
      </w:pPr>
      <w:r>
        <w:rPr>
          <w:rFonts w:ascii="Calibri" w:hAnsi="Calibri" w:eastAsia="Calibri"/>
          <w:color w:val="111111"/>
        </w:rPr>
        <w:t>Destek sorumlusu, hizmet seviyesi ve olay yönetimi</w:t>
      </w:r>
    </w:p>
    <w:p>
      <w:pPr>
        <w:pStyle w:val="Heading1"/>
        <w:keepNext/>
      </w:pPr>
      <w:r>
        <w:t>8. Geliştirme Fazları ve Önceliklendirme</w:t>
      </w:r>
    </w:p>
    <w:tbl>
      <w:tblPr>
        <w:tblStyle w:val="TableGrid"/>
        <w:tblW w:type="dxa" w:w="9360"/>
        <w:tblLayout w:type="fixed"/>
        <w:tblLook w:firstColumn="1" w:firstRow="1" w:lastColumn="0" w:lastRow="0" w:noHBand="0" w:noVBand="1" w:val="04A0"/>
        <w:jc w:val="left"/>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Ind w:w="120" w:type="dxa"/>
      </w:tblPr>
      <w:tblGrid>
        <w:gridCol w:w="850"/>
        <w:gridCol w:w="1900"/>
        <w:gridCol w:w="5010"/>
        <w:gridCol w:w="1600"/>
      </w:tblGrid>
      <w:tr>
        <w:trPr>
          <w:tblHeader w:val="true"/>
        </w:trPr>
        <w:tc>
          <w:tcPr>
            <w:tcW w:type="dxa" w:w="85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Faz</w:t>
            </w:r>
          </w:p>
        </w:tc>
        <w:tc>
          <w:tcPr>
            <w:tcW w:type="dxa" w:w="19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Odak</w:t>
            </w:r>
          </w:p>
        </w:tc>
        <w:tc>
          <w:tcPr>
            <w:tcW w:type="dxa" w:w="501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Teslimatlar</w:t>
            </w:r>
          </w:p>
        </w:tc>
        <w:tc>
          <w:tcPr>
            <w:tcW w:type="dxa" w:w="1600"/>
            <w:shd w:fill="E8EEF5"/>
            <w:vAlign w:val="center"/>
            <w:tcMar>
              <w:top w:w="80" w:type="dxa"/>
              <w:start w:w="120" w:type="dxa"/>
              <w:bottom w:w="80" w:type="dxa"/>
              <w:end w:w="120" w:type="dxa"/>
            </w:tcMar>
          </w:tcPr>
          <w:p>
            <w:pPr>
              <w:keepLines/>
              <w:spacing w:before="0" w:after="0" w:line="269" w:lineRule="auto"/>
              <w:jc w:val="center"/>
            </w:pPr>
            <w:r>
              <w:rPr>
                <w:rFonts w:ascii="Calibri" w:hAnsi="Calibri" w:eastAsia="Calibri"/>
                <w:b/>
                <w:color w:val="0B2545"/>
                <w:sz w:val="17"/>
              </w:rPr>
              <w:t>Tahmini Süre</w:t>
            </w:r>
          </w:p>
        </w:tc>
      </w:tr>
      <w:tr>
        <w:tc>
          <w:tcPr>
            <w:tcW w:type="dxa" w:w="85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Faz 0</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Kural ve veri yönetişimi</w:t>
            </w:r>
          </w:p>
        </w:tc>
        <w:tc>
          <w:tcPr>
            <w:tcW w:type="dxa" w:w="501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Kaynak lisansları; ana veri modeli; rol matrisi; kural yaşam döngüsü; test yaklaşımı</w:t>
            </w:r>
          </w:p>
        </w:tc>
        <w:tc>
          <w:tcPr>
            <w:tcW w:type="dxa" w:w="16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4–6 hafta</w:t>
            </w:r>
          </w:p>
        </w:tc>
      </w:tr>
      <w:tr>
        <w:tc>
          <w:tcPr>
            <w:tcW w:type="dxa" w:w="85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Faz 1</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Operasyonel çekirdek</w:t>
            </w:r>
          </w:p>
        </w:tc>
        <w:tc>
          <w:tcPr>
            <w:tcW w:type="dxa" w:w="501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UN ana veri; ADR; RID; IMDG; CTU; CSS; DGR; yetkinlik; belge; STOP_WORK</w:t>
            </w:r>
          </w:p>
        </w:tc>
        <w:tc>
          <w:tcPr>
            <w:tcW w:type="dxa" w:w="16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12–16 hafta</w:t>
            </w:r>
          </w:p>
        </w:tc>
      </w:tr>
      <w:tr>
        <w:tc>
          <w:tcPr>
            <w:tcW w:type="dxa" w:w="85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Faz 2</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Denizcilik uzman modülleri</w:t>
            </w:r>
          </w:p>
        </w:tc>
        <w:tc>
          <w:tcPr>
            <w:tcW w:type="dxa" w:w="501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IMSBC; Grain; TDC; liman/terminal; DBA/VGM; gözetim ve sensör entegrasyonu</w:t>
            </w:r>
          </w:p>
        </w:tc>
        <w:tc>
          <w:tcPr>
            <w:tcW w:type="dxa" w:w="16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10–14 hafta</w:t>
            </w:r>
          </w:p>
        </w:tc>
      </w:tr>
      <w:tr>
        <w:tc>
          <w:tcPr>
            <w:tcW w:type="dxa" w:w="850"/>
            <w:shd w:fill="FAFBFC"/>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Faz 3</w:t>
            </w:r>
          </w:p>
        </w:tc>
        <w:tc>
          <w:tcPr>
            <w:tcW w:type="dxa" w:w="19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Tanker ve çevresel uyum</w:t>
            </w:r>
          </w:p>
        </w:tc>
        <w:tc>
          <w:tcPr>
            <w:tcW w:type="dxa" w:w="501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IBC; IGC; MARPOL; tank operasyonu; atık/yük kalıntısı; emisyon/karbon</w:t>
            </w:r>
          </w:p>
        </w:tc>
        <w:tc>
          <w:tcPr>
            <w:tcW w:type="dxa" w:w="1600"/>
            <w:shd w:fill="FAFBFC"/>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12–16 hafta</w:t>
            </w:r>
          </w:p>
        </w:tc>
      </w:tr>
      <w:tr>
        <w:tc>
          <w:tcPr>
            <w:tcW w:type="dxa" w:w="850"/>
            <w:vAlign w:val="center"/>
            <w:tcMar>
              <w:top w:w="80" w:type="dxa"/>
              <w:start w:w="120" w:type="dxa"/>
              <w:bottom w:w="80" w:type="dxa"/>
              <w:end w:w="120" w:type="dxa"/>
            </w:tcMar>
          </w:tcPr>
          <w:p>
            <w:pPr>
              <w:keepLines/>
              <w:spacing w:before="0" w:after="0" w:line="269" w:lineRule="auto"/>
              <w:jc w:val="center"/>
            </w:pPr>
            <w:r>
              <w:rPr>
                <w:rFonts w:ascii="Calibri" w:hAnsi="Calibri" w:eastAsia="Calibri"/>
                <w:b w:val="0"/>
                <w:color w:val="111111"/>
                <w:sz w:val="17"/>
              </w:rPr>
              <w:t>Faz 4</w:t>
            </w:r>
          </w:p>
        </w:tc>
        <w:tc>
          <w:tcPr>
            <w:tcW w:type="dxa" w:w="19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Analitik ve optimizasyon</w:t>
            </w:r>
          </w:p>
        </w:tc>
        <w:tc>
          <w:tcPr>
            <w:tcW w:type="dxa" w:w="501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Risk skoru; tahmine dayalı uyarı; rota/yük optimizasyonu; yönetim panelleri</w:t>
            </w:r>
          </w:p>
        </w:tc>
        <w:tc>
          <w:tcPr>
            <w:tcW w:type="dxa" w:w="1600"/>
            <w:vAlign w:val="center"/>
            <w:tcMar>
              <w:top w:w="80" w:type="dxa"/>
              <w:start w:w="120" w:type="dxa"/>
              <w:bottom w:w="80" w:type="dxa"/>
              <w:end w:w="120" w:type="dxa"/>
            </w:tcMar>
          </w:tcPr>
          <w:p>
            <w:pPr>
              <w:keepLines/>
              <w:spacing w:before="0" w:after="0" w:line="269" w:lineRule="auto"/>
              <w:jc w:val="left"/>
            </w:pPr>
            <w:r>
              <w:rPr>
                <w:rFonts w:ascii="Calibri" w:hAnsi="Calibri" w:eastAsia="Calibri"/>
                <w:b w:val="0"/>
                <w:color w:val="111111"/>
                <w:sz w:val="17"/>
              </w:rPr>
              <w:t>8–12 hafta</w:t>
            </w:r>
          </w:p>
        </w:tc>
      </w:tr>
    </w:tbl>
    <w:p>
      <w:pPr>
        <w:spacing w:after="40" w:before="0"/>
      </w:pPr>
    </w:p>
    <w:tbl>
      <w:tblPr>
        <w:tblStyle w:val="TableGrid"/>
        <w:tblW w:type="dxa" w:w="9360"/>
        <w:tblLayout w:type="fixed"/>
        <w:tblLook w:firstColumn="1" w:firstRow="1" w:lastColumn="0" w:lastRow="0" w:noHBand="0" w:noVBand="1" w:val="04A0"/>
        <w:jc w:val="left"/>
        <w:tblBorders>
          <w:top w:val="single" w:sz="5" w:space="0" w:color="D4DEE8"/>
          <w:left w:val="single" w:sz="5" w:space="0" w:color="D4DEE8"/>
          <w:bottom w:val="single" w:sz="5" w:space="0" w:color="D4DEE8"/>
          <w:right w:val="single" w:sz="5" w:space="0" w:color="D4DEE8"/>
          <w:insideH w:val="single" w:sz="5" w:space="0" w:color="D4DEE8"/>
          <w:insideV w:val="single" w:sz="5" w:space="0" w:color="D4DEE8"/>
        </w:tblBorders>
        <w:tblInd w:w="120" w:type="dxa"/>
      </w:tblPr>
      <w:tblGrid>
        <w:gridCol w:w="9360"/>
      </w:tblGrid>
      <w:tr>
        <w:tc>
          <w:tcPr>
            <w:tcW w:type="dxa" w:w="9360"/>
            <w:vAlign w:val="center"/>
            <w:tcMar>
              <w:top w:w="80" w:type="dxa"/>
              <w:start w:w="120" w:type="dxa"/>
              <w:bottom w:w="80" w:type="dxa"/>
              <w:end w:w="120" w:type="dxa"/>
            </w:tcMar>
            <w:shd w:fill="F4F6F9"/>
          </w:tcPr>
          <w:p>
            <w:pPr>
              <w:spacing w:before="40" w:after="40" w:line="276" w:lineRule="auto"/>
            </w:pPr>
            <w:r>
              <w:rPr>
                <w:rFonts w:ascii="Calibri" w:hAnsi="Calibri" w:eastAsia="Calibri"/>
                <w:b/>
                <w:color w:val="0B2545"/>
                <w:sz w:val="20"/>
              </w:rPr>
              <w:t xml:space="preserve">MVP önerisi: </w:t>
            </w:r>
            <w:r>
              <w:rPr>
                <w:rFonts w:ascii="Calibri" w:hAnsi="Calibri" w:eastAsia="Calibri"/>
                <w:color w:val="111111"/>
                <w:sz w:val="20"/>
              </w:rPr>
              <w:t>İlk sürümde IBC, IGC ve MARPOL’ün bütün gemi işletme hükümlerini geliştirmek yerine yük kabulü ve terminal kontrolü seviyesi uygulanmalıdır. Tam tanker/gemi yönetimi, hedef müşteri ve lisans modeli doğrulandıktan sonra ayrı profesyonel paket olarak açılmalıdır.</w:t>
            </w:r>
          </w:p>
        </w:tc>
      </w:tr>
    </w:tbl>
    <w:p>
      <w:pPr>
        <w:spacing w:after="40"/>
      </w:pPr>
    </w:p>
    <w:p>
      <w:pPr>
        <w:pStyle w:val="Heading1"/>
        <w:keepNext/>
      </w:pPr>
      <w:r>
        <w:t>9. Asgari Kabul Kriterleri</w:t>
      </w:r>
    </w:p>
    <w:p>
      <w:pPr>
        <w:spacing w:before="0" w:after="80" w:line="300" w:lineRule="auto"/>
        <w:numPr>
          <w:ilvl w:val="0"/>
          <w:numId w:val="10"/>
        </w:numPr>
      </w:pPr>
      <w:r>
        <w:rPr>
          <w:rFonts w:ascii="Calibri" w:hAnsi="Calibri" w:eastAsia="Calibri"/>
          <w:color w:val="111111"/>
        </w:rPr>
        <w:t>Bir sevkiyatın tüm taşıma ayakları tek dosyada oluşturulabilmelidir.</w:t>
      </w:r>
    </w:p>
    <w:p>
      <w:pPr>
        <w:spacing w:before="0" w:after="80" w:line="300" w:lineRule="auto"/>
        <w:numPr>
          <w:ilvl w:val="0"/>
          <w:numId w:val="10"/>
        </w:numPr>
      </w:pPr>
      <w:r>
        <w:rPr>
          <w:rFonts w:ascii="Calibri" w:hAnsi="Calibri" w:eastAsia="Calibri"/>
          <w:color w:val="111111"/>
        </w:rPr>
        <w:t>Taşıma tarihine göre doğru ADR/RID/IMDG/ICAO-IATA sürümü seçilmelidir.</w:t>
      </w:r>
    </w:p>
    <w:p>
      <w:pPr>
        <w:spacing w:before="0" w:after="80" w:line="300" w:lineRule="auto"/>
        <w:numPr>
          <w:ilvl w:val="0"/>
          <w:numId w:val="10"/>
        </w:numPr>
      </w:pPr>
      <w:r>
        <w:rPr>
          <w:rFonts w:ascii="Calibri" w:hAnsi="Calibri" w:eastAsia="Calibri"/>
          <w:color w:val="111111"/>
        </w:rPr>
        <w:t>Aynı UN numarasının modlara göre farklı şartları ayrı sonuç vermelidir.</w:t>
      </w:r>
    </w:p>
    <w:p>
      <w:pPr>
        <w:spacing w:before="0" w:after="80" w:line="300" w:lineRule="auto"/>
        <w:numPr>
          <w:ilvl w:val="0"/>
          <w:numId w:val="10"/>
        </w:numPr>
      </w:pPr>
      <w:r>
        <w:rPr>
          <w:rFonts w:ascii="Calibri" w:hAnsi="Calibri" w:eastAsia="Calibri"/>
          <w:color w:val="111111"/>
        </w:rPr>
        <w:t>Eksik zorunlu alanla nihai UYGUN kararı üretilememelidir.</w:t>
      </w:r>
    </w:p>
    <w:p>
      <w:pPr>
        <w:spacing w:before="0" w:after="80" w:line="300" w:lineRule="auto"/>
        <w:numPr>
          <w:ilvl w:val="0"/>
          <w:numId w:val="10"/>
        </w:numPr>
      </w:pPr>
      <w:r>
        <w:rPr>
          <w:rFonts w:ascii="Calibri" w:hAnsi="Calibri" w:eastAsia="Calibri"/>
          <w:color w:val="111111"/>
        </w:rPr>
        <w:t>Her karar kaynak, madde, sürüm ve kullanılan girdiyle açıklanabilmelidir.</w:t>
      </w:r>
    </w:p>
    <w:p>
      <w:pPr>
        <w:spacing w:before="0" w:after="80" w:line="300" w:lineRule="auto"/>
        <w:numPr>
          <w:ilvl w:val="0"/>
          <w:numId w:val="10"/>
        </w:numPr>
      </w:pPr>
      <w:r>
        <w:rPr>
          <w:rFonts w:ascii="Calibri" w:hAnsi="Calibri" w:eastAsia="Calibri"/>
          <w:color w:val="111111"/>
        </w:rPr>
        <w:t>Ambalaj, tank, araç/vagon/CTU ve personel geçerlilikleri tarih bazlı kontrol edilmelidir.</w:t>
      </w:r>
    </w:p>
    <w:p>
      <w:pPr>
        <w:spacing w:before="0" w:after="80" w:line="300" w:lineRule="auto"/>
        <w:numPr>
          <w:ilvl w:val="0"/>
          <w:numId w:val="10"/>
        </w:numPr>
      </w:pPr>
      <w:r>
        <w:rPr>
          <w:rFonts w:ascii="Calibri" w:hAnsi="Calibri" w:eastAsia="Calibri"/>
          <w:color w:val="111111"/>
        </w:rPr>
        <w:t>Segregasyon ve birlikte yükleme ihlalinde sistem koşullu veya STOP_WORK sonucu üretmelidir.</w:t>
      </w:r>
    </w:p>
    <w:p>
      <w:pPr>
        <w:spacing w:before="0" w:after="80" w:line="300" w:lineRule="auto"/>
        <w:numPr>
          <w:ilvl w:val="0"/>
          <w:numId w:val="10"/>
        </w:numPr>
      </w:pPr>
      <w:r>
        <w:rPr>
          <w:rFonts w:ascii="Calibri" w:hAnsi="Calibri" w:eastAsia="Calibri"/>
          <w:color w:val="111111"/>
        </w:rPr>
        <w:t>Belge çıktısı yalnızca doğrulanmış veriden oluşturulmalıdır.</w:t>
      </w:r>
    </w:p>
    <w:p>
      <w:pPr>
        <w:spacing w:before="0" w:after="80" w:line="300" w:lineRule="auto"/>
        <w:numPr>
          <w:ilvl w:val="0"/>
          <w:numId w:val="10"/>
        </w:numPr>
      </w:pPr>
      <w:r>
        <w:rPr>
          <w:rFonts w:ascii="Calibri" w:hAnsi="Calibri" w:eastAsia="Calibri"/>
          <w:color w:val="111111"/>
        </w:rPr>
        <w:t>Gözetim raporu ve STOP_WORK kararı Logfiks seferine referansla bağlanmalıdır.</w:t>
      </w:r>
    </w:p>
    <w:p>
      <w:pPr>
        <w:spacing w:before="0" w:after="80" w:line="300" w:lineRule="auto"/>
        <w:numPr>
          <w:ilvl w:val="0"/>
          <w:numId w:val="10"/>
        </w:numPr>
      </w:pPr>
      <w:r>
        <w:rPr>
          <w:rFonts w:ascii="Calibri" w:hAnsi="Calibri" w:eastAsia="Calibri"/>
          <w:color w:val="111111"/>
        </w:rPr>
        <w:t>Mevzuat değişikliğinde etkilenen kurallar ve test senaryoları listelenmelidir.</w:t>
      </w:r>
    </w:p>
    <w:p>
      <w:pPr>
        <w:spacing w:before="0" w:after="80" w:line="300" w:lineRule="auto"/>
        <w:numPr>
          <w:ilvl w:val="0"/>
          <w:numId w:val="10"/>
        </w:numPr>
      </w:pPr>
      <w:r>
        <w:rPr>
          <w:rFonts w:ascii="Calibri" w:hAnsi="Calibri" w:eastAsia="Calibri"/>
          <w:color w:val="111111"/>
        </w:rPr>
        <w:t>Tüm kritik işlemler kullanıcı, zaman, önceki/yeni değer ve gerekçeyle kayıt altına alınmalıdır.</w:t>
      </w:r>
    </w:p>
    <w:p>
      <w:pPr>
        <w:spacing w:before="0" w:after="80" w:line="300" w:lineRule="auto"/>
        <w:numPr>
          <w:ilvl w:val="0"/>
          <w:numId w:val="10"/>
        </w:numPr>
      </w:pPr>
      <w:r>
        <w:rPr>
          <w:rFonts w:ascii="Calibri" w:hAnsi="Calibri" w:eastAsia="Calibri"/>
          <w:color w:val="111111"/>
        </w:rPr>
        <w:t>İnternet kesintili saha kullanımı için çevrimdışı kontrol/form ve sonradan eşitleme değerlendirilmelidir.</w:t>
      </w:r>
    </w:p>
    <w:p>
      <w:pPr>
        <w:pStyle w:val="Heading1"/>
        <w:keepNext/>
      </w:pPr>
      <w:r>
        <w:t>10. Hazırlık Sonrası Karar Gündemi</w:t>
      </w:r>
    </w:p>
    <w:p>
      <w:pPr>
        <w:spacing w:after="160" w:line="300" w:lineRule="auto"/>
      </w:pPr>
      <w:r>
        <w:rPr>
          <w:rFonts w:ascii="Calibri" w:hAnsi="Calibri" w:eastAsia="Calibri"/>
          <w:color w:val="111111"/>
          <w:sz w:val="22"/>
        </w:rPr>
        <w:t>Bir sonraki çalışma oturumunda aşağıdaki kararlar netleştirilerek sistem analiz dokümanı, ekran listesi, veri sözlüğü ve karar ağaçları yazılımcıya verilecek seviyeye getirilecektir.</w:t>
      </w:r>
    </w:p>
    <w:p>
      <w:pPr>
        <w:spacing w:before="0" w:after="80" w:line="300" w:lineRule="auto"/>
        <w:numPr>
          <w:ilvl w:val="0"/>
          <w:numId w:val="11"/>
        </w:numPr>
      </w:pPr>
      <w:r>
        <w:rPr>
          <w:rFonts w:ascii="Calibri" w:hAnsi="Calibri" w:eastAsia="Calibri"/>
          <w:color w:val="111111"/>
        </w:rPr>
        <w:t>İlk ticari müşteri profili ve öncelikli taşıma modlarının seçilmesi</w:t>
      </w:r>
    </w:p>
    <w:p>
      <w:pPr>
        <w:spacing w:before="0" w:after="80" w:line="300" w:lineRule="auto"/>
        <w:numPr>
          <w:ilvl w:val="0"/>
          <w:numId w:val="11"/>
        </w:numPr>
      </w:pPr>
      <w:r>
        <w:rPr>
          <w:rFonts w:ascii="Calibri" w:hAnsi="Calibri" w:eastAsia="Calibri"/>
          <w:color w:val="111111"/>
        </w:rPr>
        <w:t>MVP’ye girecek kodlar ile sonraki fazlara bırakılacak uzman modüllerin kesinleştirilmesi</w:t>
      </w:r>
    </w:p>
    <w:p>
      <w:pPr>
        <w:spacing w:before="0" w:after="80" w:line="300" w:lineRule="auto"/>
        <w:numPr>
          <w:ilvl w:val="0"/>
          <w:numId w:val="11"/>
        </w:numPr>
      </w:pPr>
      <w:r>
        <w:rPr>
          <w:rFonts w:ascii="Calibri" w:hAnsi="Calibri" w:eastAsia="Calibri"/>
          <w:color w:val="111111"/>
        </w:rPr>
        <w:t>Kullanıcı rolleri, görev ayrılığı ve onay zincirinin oluşturulması</w:t>
      </w:r>
    </w:p>
    <w:p>
      <w:pPr>
        <w:spacing w:before="0" w:after="80" w:line="300" w:lineRule="auto"/>
        <w:numPr>
          <w:ilvl w:val="0"/>
          <w:numId w:val="11"/>
        </w:numPr>
      </w:pPr>
      <w:r>
        <w:rPr>
          <w:rFonts w:ascii="Calibri" w:hAnsi="Calibri" w:eastAsia="Calibri"/>
          <w:color w:val="111111"/>
        </w:rPr>
        <w:t>Mevcut Logfiks veri tabanı ve API envanterinin incelenmesi</w:t>
      </w:r>
    </w:p>
    <w:p>
      <w:pPr>
        <w:spacing w:before="0" w:after="80" w:line="300" w:lineRule="auto"/>
        <w:numPr>
          <w:ilvl w:val="0"/>
          <w:numId w:val="11"/>
        </w:numPr>
      </w:pPr>
      <w:r>
        <w:rPr>
          <w:rFonts w:ascii="Calibri" w:hAnsi="Calibri" w:eastAsia="Calibri"/>
          <w:color w:val="111111"/>
        </w:rPr>
        <w:t>UN madde ana verisi ile mevzuat kural motorunun teknik yaklaşımının seçilmesi</w:t>
      </w:r>
    </w:p>
    <w:p>
      <w:pPr>
        <w:spacing w:before="0" w:after="80" w:line="300" w:lineRule="auto"/>
        <w:numPr>
          <w:ilvl w:val="0"/>
          <w:numId w:val="11"/>
        </w:numPr>
      </w:pPr>
      <w:r>
        <w:rPr>
          <w:rFonts w:ascii="Calibri" w:hAnsi="Calibri" w:eastAsia="Calibri"/>
          <w:color w:val="111111"/>
        </w:rPr>
        <w:t>IMO/ICAO/IATA yayınları için lisans ve veri kullanım modelinin belirlenmesi</w:t>
      </w:r>
    </w:p>
    <w:p>
      <w:pPr>
        <w:spacing w:before="0" w:after="80" w:line="300" w:lineRule="auto"/>
        <w:numPr>
          <w:ilvl w:val="0"/>
          <w:numId w:val="11"/>
        </w:numPr>
      </w:pPr>
      <w:r>
        <w:rPr>
          <w:rFonts w:ascii="Calibri" w:hAnsi="Calibri" w:eastAsia="Calibri"/>
          <w:color w:val="111111"/>
        </w:rPr>
        <w:t>İlk 25–40 karar ağacının ve kabul senaryosunun seçilmesi</w:t>
      </w:r>
    </w:p>
    <w:p>
      <w:pPr>
        <w:spacing w:before="0" w:after="80" w:line="300" w:lineRule="auto"/>
        <w:numPr>
          <w:ilvl w:val="0"/>
          <w:numId w:val="11"/>
        </w:numPr>
      </w:pPr>
      <w:r>
        <w:rPr>
          <w:rFonts w:ascii="Calibri" w:hAnsi="Calibri" w:eastAsia="Calibri"/>
          <w:color w:val="111111"/>
        </w:rPr>
        <w:t>Belge çıktıları, resmî bildirimler ve dış sistem entegrasyonlarının önceliklendirilmesi</w:t>
      </w:r>
    </w:p>
    <w:p>
      <w:pPr>
        <w:spacing w:before="0" w:after="80" w:line="300" w:lineRule="auto"/>
        <w:numPr>
          <w:ilvl w:val="0"/>
          <w:numId w:val="11"/>
        </w:numPr>
      </w:pPr>
      <w:r>
        <w:rPr>
          <w:rFonts w:ascii="Calibri" w:hAnsi="Calibri" w:eastAsia="Calibri"/>
          <w:color w:val="111111"/>
        </w:rPr>
        <w:t>Excel veri sözlüğü, Word sistem analiz dosyası ve yazılım backlog formatının belirlenmesi</w:t>
      </w:r>
    </w:p>
    <w:p>
      <w:pPr>
        <w:spacing w:before="0" w:after="80" w:line="300" w:lineRule="auto"/>
        <w:numPr>
          <w:ilvl w:val="0"/>
          <w:numId w:val="11"/>
        </w:numPr>
      </w:pPr>
      <w:r>
        <w:rPr>
          <w:rFonts w:ascii="Calibri" w:hAnsi="Calibri" w:eastAsia="Calibri"/>
          <w:color w:val="111111"/>
        </w:rPr>
        <w:t>Pilot müşteri, pilot rota ve pilot yük listesinin seçilmesi</w:t>
      </w:r>
    </w:p>
    <w:p>
      <w:r>
        <w:br w:type="page"/>
      </w:r>
    </w:p>
    <w:p>
      <w:pPr>
        <w:pStyle w:val="Heading1"/>
        <w:keepNext/>
      </w:pPr>
      <w:r>
        <w:t>Ek A – Güncel Resmî Kaynaklar</w:t>
      </w:r>
    </w:p>
    <w:p>
      <w:pPr>
        <w:spacing w:after="160" w:line="300" w:lineRule="auto"/>
      </w:pPr>
      <w:r>
        <w:rPr>
          <w:rFonts w:ascii="Calibri" w:hAnsi="Calibri" w:eastAsia="Calibri"/>
          <w:color w:val="111111"/>
          <w:sz w:val="22"/>
        </w:rPr>
        <w:t>Aşağıdaki bağlantılar 23 Temmuz 2026 tarihli hazırlık çalışmasında sürüm ve kapsam doğrulaması için esas alınan resmî kurumsal kaynaklardır. Uygulama geliştirme aşamasında her kaynak için güncellik, düzeltme ve lisans kontrolü yeniden yapılmalıdır.</w:t>
      </w:r>
    </w:p>
    <w:p>
      <w:pPr>
        <w:spacing w:after="100" w:line="276" w:lineRule="auto"/>
      </w:pPr>
      <w:hyperlink r:id="rId12">
        <w:r>
          <w:rPr>
            <w:rStyle w:val="Hyperlink"/>
            <w:color w:val="2E74B5"/>
            <w:u w:val="single"/>
          </w:rPr>
          <w:t>UNECE – ADR 2025</w:t>
        </w:r>
      </w:hyperlink>
    </w:p>
    <w:p>
      <w:pPr>
        <w:spacing w:after="100" w:line="276" w:lineRule="auto"/>
      </w:pPr>
      <w:hyperlink r:id="rId13">
        <w:r>
          <w:rPr>
            <w:rStyle w:val="Hyperlink"/>
            <w:color w:val="2E74B5"/>
            <w:u w:val="single"/>
          </w:rPr>
          <w:t>OTIF – RID 2025</w:t>
        </w:r>
      </w:hyperlink>
    </w:p>
    <w:p>
      <w:pPr>
        <w:spacing w:after="100" w:line="276" w:lineRule="auto"/>
      </w:pPr>
      <w:hyperlink r:id="rId14">
        <w:r>
          <w:rPr>
            <w:rStyle w:val="Hyperlink"/>
            <w:color w:val="2E74B5"/>
            <w:u w:val="single"/>
          </w:rPr>
          <w:t>IMO – IMDG Code</w:t>
        </w:r>
      </w:hyperlink>
    </w:p>
    <w:p>
      <w:pPr>
        <w:spacing w:after="100" w:line="276" w:lineRule="auto"/>
      </w:pPr>
      <w:hyperlink r:id="rId15">
        <w:r>
          <w:rPr>
            <w:rStyle w:val="Hyperlink"/>
            <w:color w:val="2E74B5"/>
            <w:u w:val="single"/>
          </w:rPr>
          <w:t>IMO – IMSBC Code</w:t>
        </w:r>
      </w:hyperlink>
    </w:p>
    <w:p>
      <w:pPr>
        <w:spacing w:after="100" w:line="276" w:lineRule="auto"/>
      </w:pPr>
      <w:hyperlink r:id="rId16">
        <w:r>
          <w:rPr>
            <w:rStyle w:val="Hyperlink"/>
            <w:color w:val="2E74B5"/>
            <w:u w:val="single"/>
          </w:rPr>
          <w:t>IMO – IBC Code</w:t>
        </w:r>
      </w:hyperlink>
    </w:p>
    <w:p>
      <w:pPr>
        <w:spacing w:after="100" w:line="276" w:lineRule="auto"/>
      </w:pPr>
      <w:hyperlink r:id="rId17">
        <w:r>
          <w:rPr>
            <w:rStyle w:val="Hyperlink"/>
            <w:color w:val="2E74B5"/>
            <w:u w:val="single"/>
          </w:rPr>
          <w:t>IMO – IGC Code</w:t>
        </w:r>
      </w:hyperlink>
    </w:p>
    <w:p>
      <w:pPr>
        <w:spacing w:after="100" w:line="276" w:lineRule="auto"/>
      </w:pPr>
      <w:hyperlink r:id="rId18">
        <w:r>
          <w:rPr>
            <w:rStyle w:val="Hyperlink"/>
            <w:color w:val="2E74B5"/>
            <w:u w:val="single"/>
          </w:rPr>
          <w:t>IMO – TDC Code</w:t>
        </w:r>
      </w:hyperlink>
    </w:p>
    <w:p>
      <w:pPr>
        <w:spacing w:after="100" w:line="276" w:lineRule="auto"/>
      </w:pPr>
      <w:hyperlink r:id="rId19">
        <w:r>
          <w:rPr>
            <w:rStyle w:val="Hyperlink"/>
            <w:color w:val="2E74B5"/>
            <w:u w:val="single"/>
          </w:rPr>
          <w:t>IMO – CSS Code</w:t>
        </w:r>
      </w:hyperlink>
    </w:p>
    <w:p>
      <w:pPr>
        <w:spacing w:after="100" w:line="276" w:lineRule="auto"/>
      </w:pPr>
      <w:hyperlink r:id="rId20">
        <w:r>
          <w:rPr>
            <w:rStyle w:val="Hyperlink"/>
            <w:color w:val="2E74B5"/>
            <w:u w:val="single"/>
          </w:rPr>
          <w:t>IMO/ILO/UNECE – CTU Code</w:t>
        </w:r>
      </w:hyperlink>
    </w:p>
    <w:p>
      <w:pPr>
        <w:spacing w:after="100" w:line="276" w:lineRule="auto"/>
      </w:pPr>
      <w:hyperlink r:id="rId21">
        <w:r>
          <w:rPr>
            <w:rStyle w:val="Hyperlink"/>
            <w:color w:val="2E74B5"/>
            <w:u w:val="single"/>
          </w:rPr>
          <w:t>IMO – MARPOL</w:t>
        </w:r>
      </w:hyperlink>
    </w:p>
    <w:p>
      <w:pPr>
        <w:spacing w:after="100" w:line="276" w:lineRule="auto"/>
      </w:pPr>
      <w:hyperlink r:id="rId22">
        <w:r>
          <w:rPr>
            <w:rStyle w:val="Hyperlink"/>
            <w:color w:val="2E74B5"/>
            <w:u w:val="single"/>
          </w:rPr>
          <w:t>ICAO – Dangerous Goods Technical Instructions</w:t>
        </w:r>
      </w:hyperlink>
    </w:p>
    <w:p>
      <w:pPr>
        <w:spacing w:after="100" w:line="276" w:lineRule="auto"/>
      </w:pPr>
      <w:hyperlink r:id="rId23">
        <w:r>
          <w:rPr>
            <w:rStyle w:val="Hyperlink"/>
            <w:color w:val="2E74B5"/>
            <w:u w:val="single"/>
          </w:rPr>
          <w:t>IATA – Dangerous Goods Regulations</w:t>
        </w:r>
      </w:hyperlink>
    </w:p>
    <w:p>
      <w:pPr>
        <w:spacing w:after="100" w:line="276" w:lineRule="auto"/>
      </w:pPr>
      <w:hyperlink r:id="rId24">
        <w:r>
          <w:rPr>
            <w:rStyle w:val="Hyperlink"/>
            <w:color w:val="2E74B5"/>
            <w:u w:val="single"/>
          </w:rPr>
          <w:t>UNECE – UN Model Regulations Rev.24</w:t>
        </w:r>
      </w:hyperlink>
    </w:p>
    <w:p>
      <w:pPr>
        <w:spacing w:after="100" w:line="276" w:lineRule="auto"/>
      </w:pPr>
      <w:hyperlink r:id="rId25">
        <w:r>
          <w:rPr>
            <w:rStyle w:val="Hyperlink"/>
            <w:color w:val="2E74B5"/>
            <w:u w:val="single"/>
          </w:rPr>
          <w:t>UNECE – GHS Rev.11</w:t>
        </w:r>
      </w:hyperlink>
    </w:p>
    <w:p>
      <w:pPr>
        <w:spacing w:after="100" w:line="276" w:lineRule="auto"/>
      </w:pPr>
      <w:hyperlink r:id="rId26">
        <w:r>
          <w:rPr>
            <w:rStyle w:val="Hyperlink"/>
            <w:color w:val="2E74B5"/>
            <w:u w:val="single"/>
          </w:rPr>
          <w:t>UAB – Denizyolu Taşımacılığı İşlemleri</w:t>
        </w:r>
      </w:hyperlink>
    </w:p>
    <w:p>
      <w:pPr>
        <w:spacing w:after="100" w:line="276" w:lineRule="auto"/>
      </w:pPr>
      <w:hyperlink r:id="rId27">
        <w:r>
          <w:rPr>
            <w:rStyle w:val="Hyperlink"/>
            <w:color w:val="2E74B5"/>
            <w:u w:val="single"/>
          </w:rPr>
          <w:t>UAB – IMO Uygulama Talimatları</w:t>
        </w:r>
      </w:hyperlink>
    </w:p>
    <w:p>
      <w:pPr>
        <w:spacing w:after="100" w:line="276" w:lineRule="auto"/>
      </w:pPr>
      <w:hyperlink r:id="rId28">
        <w:r>
          <w:rPr>
            <w:rStyle w:val="Hyperlink"/>
            <w:color w:val="2E74B5"/>
            <w:u w:val="single"/>
          </w:rPr>
          <w:t>SHGM – Sektörel Talimatlar</w:t>
        </w:r>
      </w:hyperlink>
    </w:p>
    <w:p>
      <w:pPr>
        <w:pStyle w:val="Heading1"/>
        <w:keepNext/>
      </w:pPr>
      <w:r>
        <w:t>Ek B – Uygulama İlkeleri</w:t>
      </w:r>
    </w:p>
    <w:p>
      <w:pPr>
        <w:spacing w:before="0" w:after="80" w:line="300" w:lineRule="auto"/>
        <w:numPr>
          <w:ilvl w:val="0"/>
          <w:numId w:val="10"/>
        </w:numPr>
      </w:pPr>
      <w:r>
        <w:rPr>
          <w:rFonts w:ascii="Calibri" w:hAnsi="Calibri" w:eastAsia="Calibri"/>
          <w:color w:val="111111"/>
        </w:rPr>
        <w:t>Tek gerçek kayıt: Doğrulanmış operasyon verisinin sahibi Logfiks olmalıdır.</w:t>
      </w:r>
    </w:p>
    <w:p>
      <w:pPr>
        <w:spacing w:before="0" w:after="80" w:line="300" w:lineRule="auto"/>
        <w:numPr>
          <w:ilvl w:val="0"/>
          <w:numId w:val="10"/>
        </w:numPr>
      </w:pPr>
      <w:r>
        <w:rPr>
          <w:rFonts w:ascii="Calibri" w:hAnsi="Calibri" w:eastAsia="Calibri"/>
          <w:color w:val="111111"/>
        </w:rPr>
        <w:t>Kaynaklı karar: Her sonuç mevzuat ve veri kaynağına geri izlenebilmelidir.</w:t>
      </w:r>
    </w:p>
    <w:p>
      <w:pPr>
        <w:spacing w:before="0" w:after="80" w:line="300" w:lineRule="auto"/>
        <w:numPr>
          <w:ilvl w:val="0"/>
          <w:numId w:val="10"/>
        </w:numPr>
      </w:pPr>
      <w:r>
        <w:rPr>
          <w:rFonts w:ascii="Calibri" w:hAnsi="Calibri" w:eastAsia="Calibri"/>
          <w:color w:val="111111"/>
        </w:rPr>
        <w:t>Sürüm kontrollü çalışma: Eski sevkiyatlar eski mevzuat sürümüyle yeniden üretilebilmelidir.</w:t>
      </w:r>
    </w:p>
    <w:p>
      <w:pPr>
        <w:spacing w:before="0" w:after="80" w:line="300" w:lineRule="auto"/>
        <w:numPr>
          <w:ilvl w:val="0"/>
          <w:numId w:val="10"/>
        </w:numPr>
      </w:pPr>
      <w:r>
        <w:rPr>
          <w:rFonts w:ascii="Calibri" w:hAnsi="Calibri" w:eastAsia="Calibri"/>
          <w:color w:val="111111"/>
        </w:rPr>
        <w:t>İnsan denetimi: Belirsiz, istisnai veya yüksek riskli kararlar uzman onayından geçmelidir.</w:t>
      </w:r>
    </w:p>
    <w:p>
      <w:pPr>
        <w:spacing w:before="0" w:after="80" w:line="300" w:lineRule="auto"/>
        <w:numPr>
          <w:ilvl w:val="0"/>
          <w:numId w:val="10"/>
        </w:numPr>
      </w:pPr>
      <w:r>
        <w:rPr>
          <w:rFonts w:ascii="Calibri" w:hAnsi="Calibri" w:eastAsia="Calibri"/>
          <w:color w:val="111111"/>
        </w:rPr>
        <w:t>Kanıt temelli operasyon: Fotoğraf, belge, sensör ve imza kayıtları kararın parçası olmalıdır.</w:t>
      </w:r>
    </w:p>
    <w:p>
      <w:pPr>
        <w:spacing w:before="0" w:after="80" w:line="300" w:lineRule="auto"/>
        <w:numPr>
          <w:ilvl w:val="0"/>
          <w:numId w:val="10"/>
        </w:numPr>
      </w:pPr>
      <w:r>
        <w:rPr>
          <w:rFonts w:ascii="Calibri" w:hAnsi="Calibri" w:eastAsia="Calibri"/>
          <w:color w:val="111111"/>
        </w:rPr>
        <w:t>Modüler ticarileştirme: ADR/RID/IMDG/CTU/DGR çekirdeği ile tanker ve çevre paketleri ayrı lisanslanabilmelidir.</w:t>
      </w:r>
    </w:p>
    <w:sectPr w:rsidR="00FC693F" w:rsidRPr="0006063C" w:rsidSect="00034616">
      <w:headerReference w:type="default" r:id="rId9"/>
      <w:footerReference w:type="default" r:id="rId10"/>
      <w:footerReference w:type="first" r:id="rId11"/>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B6573"/>
        <w:sz w:val="18"/>
      </w:rPr>
      <w:t xml:space="preserve">Sayfa </w:t>
    </w:r>
    <w:r>
      <w:fldChar w:fldCharType="begin"/>
    </w:r>
    <w:r>
      <w:instrText xml:space="preserve"> PAGE </w:instrText>
    </w:r>
    <w:r>
      <w:fldChar w:fldCharType="separate"/>
    </w:r>
    <w:r>
      <w:rPr>
        <w:color w:val="5B6573"/>
        <w:sz w:val="18"/>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color w:val="5B6573"/>
        <w:sz w:val="18"/>
      </w:rPr>
      <w:t>Çalışma Taslağı • 23 Temmuz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5B6573"/>
        <w:sz w:val="17"/>
      </w:rPr>
      <w:t>LOGFİKS | ÇOK MODLU TEHLİKELİ YÜK UYUM MODÜLÜ</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spacing w:after="80" w:line="300" w:lineRule="auto"/>
      </w:pPr>
      <w:rPr>
        <w:rFonts w:ascii="Symbol" w:hAnsi="Symbol"/>
      </w:rPr>
    </w:lvl>
  </w:abstractNum>
  <w:num w:numId="10">
    <w:abstractNumId w:val="9"/>
  </w:num>
  <w:abstractNum w:abstractNumId="10">
    <w:multiLevelType w:val="singleLevel"/>
    <w:lvl w:ilvl="0">
      <w:start w:val="1"/>
      <w:numFmt w:val="decimal"/>
      <w:lvlText w:val="%1."/>
      <w:suff w:val="tab"/>
      <w:pPr>
        <w:tabs>
          <w:tab w:val="num" w:pos="540"/>
        </w:tabs>
        <w:ind w:left="540" w:hanging="270"/>
        <w:spacing w:after="80" w:line="300" w:lineRule="auto"/>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0B254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pPr>
    <w:rPr>
      <w:rFonts w:asciiTheme="majorHAnsi" w:eastAsiaTheme="majorEastAsia" w:hAnsiTheme="majorHAnsi" w:cstheme="majorBidi" w:ascii="Calibri" w:hAnsi="Calibri"/>
      <w:i/>
      <w:iCs/>
      <w:color w:val="5B6573"/>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unece.org/adr-2025-files" TargetMode="External"/><Relationship Id="rId13" Type="http://schemas.openxmlformats.org/officeDocument/2006/relationships/hyperlink" Target="https://otif.org/en/?page_id=1105" TargetMode="External"/><Relationship Id="rId14" Type="http://schemas.openxmlformats.org/officeDocument/2006/relationships/hyperlink" Target="https://www.imo.org/en/publications/pages/imdg%20code.aspx" TargetMode="External"/><Relationship Id="rId15" Type="http://schemas.openxmlformats.org/officeDocument/2006/relationships/hyperlink" Target="https://www.imo.org/en/OurWork/Safety/Pages/CargoesInBulk-default.aspx" TargetMode="External"/><Relationship Id="rId16" Type="http://schemas.openxmlformats.org/officeDocument/2006/relationships/hyperlink" Target="https://www.imo.org/en/OurWork/Safety/Pages/IBC-Code.aspx" TargetMode="External"/><Relationship Id="rId17" Type="http://schemas.openxmlformats.org/officeDocument/2006/relationships/hyperlink" Target="https://www.imo.org/en/ourwork/safety/pages/igc-code.aspx" TargetMode="External"/><Relationship Id="rId18" Type="http://schemas.openxmlformats.org/officeDocument/2006/relationships/hyperlink" Target="https://www.imo.org/en/OurWork/Safety/Pages/Timber-Code.aspx" TargetMode="External"/><Relationship Id="rId19" Type="http://schemas.openxmlformats.org/officeDocument/2006/relationships/hyperlink" Target="https://www.imo.org/en/ourwork/safety/pages/css-code.aspx" TargetMode="External"/><Relationship Id="rId20" Type="http://schemas.openxmlformats.org/officeDocument/2006/relationships/hyperlink" Target="https://wwwcdn.imo.org/localresources/en/OurWork/Safety/Documents/1497.pdf" TargetMode="External"/><Relationship Id="rId21" Type="http://schemas.openxmlformats.org/officeDocument/2006/relationships/hyperlink" Target="https://www.imo.org/en/about/conventions/pages/international-convention-for-the-prevention-of-pollution-from-ships-%28marpol%29.aspx" TargetMode="External"/><Relationship Id="rId22" Type="http://schemas.openxmlformats.org/officeDocument/2006/relationships/hyperlink" Target="https://www.icao.int/Dangerous-Goods/Technical-Instructions" TargetMode="External"/><Relationship Id="rId23" Type="http://schemas.openxmlformats.org/officeDocument/2006/relationships/hyperlink" Target="https://www.iata.org/en/publications/dgr/" TargetMode="External"/><Relationship Id="rId24" Type="http://schemas.openxmlformats.org/officeDocument/2006/relationships/hyperlink" Target="https://unece.org/transport/dangerous-goods/un-model-regulations-rev-24" TargetMode="External"/><Relationship Id="rId25" Type="http://schemas.openxmlformats.org/officeDocument/2006/relationships/hyperlink" Target="https://unece.org/transport/dangerous-goods/ghs-rev11-2025" TargetMode="External"/><Relationship Id="rId26" Type="http://schemas.openxmlformats.org/officeDocument/2006/relationships/hyperlink" Target="https://denizcilik.uab.gov.tr/denizyolu-tasimaciligi-islemleri" TargetMode="External"/><Relationship Id="rId27" Type="http://schemas.openxmlformats.org/officeDocument/2006/relationships/hyperlink" Target="https://denizcilik.uab.gov.tr/imo-tum-uygulama-talimatlari" TargetMode="External"/><Relationship Id="rId28" Type="http://schemas.openxmlformats.org/officeDocument/2006/relationships/hyperlink" Target="https://mevzuat.shgm.gov.tr/index.php/tali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Logfiks Çok Modlu Tehlikeli Yük ve Denizcilik Uyum Modülü</dc:title>
  <dc:subject>Kapsam, fonksiyonlar, veri alanları ve kaynak yönetimi</dc:subject>
  <dc:creator>3E Group / Logfiks</dc:creator>
  <cp:keywords>ADR, RID, IMDG, IMSBC, IBC, IGC, Grain, TDC, CTU, CSS, MARPOL, DGR, Logfiks</cp:keywords>
  <dc:description>Yazılım geliştirme görüşmelerine esas çalışma taslağı.</dc:description>
  <cp:lastModifiedBy/>
  <cp:revision>1</cp:revision>
  <dcterms:created xsi:type="dcterms:W3CDTF">2013-12-23T23:15:00Z</dcterms:created>
  <dcterms:modified xsi:type="dcterms:W3CDTF">2013-12-23T23:15:00Z</dcterms:modified>
  <cp:category/>
</cp:coreProperties>
</file>